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39F5C">
      <w:pPr>
        <w:spacing w:line="300" w:lineRule="auto"/>
        <w:jc w:val="center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4123055" cy="9550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1934" cy="1008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4572B4">
      <w:pPr>
        <w:spacing w:line="300" w:lineRule="auto"/>
        <w:rPr>
          <w:rFonts w:ascii="Times New Roman" w:hAnsi="Times New Roman" w:eastAsia="宋体" w:cs="Times New Roman"/>
        </w:rPr>
      </w:pPr>
    </w:p>
    <w:p w14:paraId="2F4E149F">
      <w:pPr>
        <w:spacing w:line="300" w:lineRule="auto"/>
        <w:rPr>
          <w:rFonts w:ascii="Times New Roman" w:hAnsi="Times New Roman" w:eastAsia="宋体" w:cs="Times New Roman"/>
        </w:rPr>
      </w:pPr>
    </w:p>
    <w:p w14:paraId="6179D833">
      <w:pPr>
        <w:spacing w:line="300" w:lineRule="auto"/>
        <w:rPr>
          <w:rFonts w:ascii="Times New Roman" w:hAnsi="Times New Roman" w:eastAsia="宋体" w:cs="Times New Roman"/>
        </w:rPr>
      </w:pPr>
    </w:p>
    <w:p w14:paraId="1A67FE76">
      <w:pPr>
        <w:spacing w:line="300" w:lineRule="auto"/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网络安全攻防演练课程</w:t>
      </w:r>
    </w:p>
    <w:p w14:paraId="2299B7DB">
      <w:pPr>
        <w:spacing w:line="300" w:lineRule="auto"/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实验（实训）报告</w:t>
      </w:r>
    </w:p>
    <w:p w14:paraId="7E2F0EDE">
      <w:pPr>
        <w:spacing w:line="300" w:lineRule="auto"/>
        <w:jc w:val="center"/>
        <w:rPr>
          <w:rFonts w:ascii="宋体" w:hAnsi="宋体" w:eastAsia="宋体" w:cs="Times New Roman"/>
          <w:b/>
          <w:sz w:val="48"/>
          <w:szCs w:val="48"/>
        </w:rPr>
      </w:pPr>
    </w:p>
    <w:p w14:paraId="6E5A5155">
      <w:pPr>
        <w:spacing w:line="300" w:lineRule="auto"/>
        <w:jc w:val="center"/>
        <w:rPr>
          <w:rFonts w:ascii="宋体" w:hAnsi="宋体" w:eastAsia="宋体" w:cs="Times New Roman"/>
          <w:b/>
          <w:sz w:val="48"/>
          <w:szCs w:val="48"/>
        </w:rPr>
      </w:pPr>
    </w:p>
    <w:p w14:paraId="19EF1F4B"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  <w:u w:val="single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u w:val="single"/>
        </w:rPr>
        <w:t>2025-2026</w:t>
      </w:r>
      <w:r>
        <w:rPr>
          <w:rFonts w:ascii="Times New Roman" w:hAnsi="Times New Roman" w:eastAsia="宋体" w:cs="Times New Roman"/>
          <w:b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学年第</w:t>
      </w:r>
      <w:r>
        <w:rPr>
          <w:rFonts w:ascii="Times New Roman" w:hAnsi="Times New Roman" w:eastAsia="宋体" w:cs="Times New Roman"/>
          <w:b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b/>
          <w:sz w:val="32"/>
          <w:szCs w:val="32"/>
          <w:u w:val="single"/>
        </w:rPr>
        <w:t>2</w:t>
      </w:r>
      <w:r>
        <w:rPr>
          <w:rFonts w:ascii="Times New Roman" w:hAnsi="Times New Roman" w:eastAsia="宋体" w:cs="Times New Roman"/>
          <w:b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学期</w:t>
      </w:r>
    </w:p>
    <w:p w14:paraId="05904C01">
      <w:pPr>
        <w:spacing w:line="300" w:lineRule="auto"/>
        <w:jc w:val="center"/>
        <w:rPr>
          <w:rFonts w:ascii="Times New Roman" w:hAnsi="Times New Roman" w:eastAsia="宋体" w:cs="Times New Roman"/>
          <w:b/>
          <w:sz w:val="36"/>
          <w:szCs w:val="36"/>
        </w:rPr>
      </w:pPr>
    </w:p>
    <w:p w14:paraId="0BC067FB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学    院：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</w:t>
      </w:r>
      <w:r>
        <w:rPr>
          <w:rFonts w:ascii="Times New Roman" w:hAnsi="Times New Roman" w:eastAsia="宋体" w:cs="Times New Roman"/>
          <w:b/>
          <w:sz w:val="30"/>
          <w:szCs w:val="30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人工智能与大数据学院                </w:t>
      </w:r>
    </w:p>
    <w:p w14:paraId="6F61C2B3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  <w:u w:val="single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年    级：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</w:t>
      </w:r>
      <w:r>
        <w:rPr>
          <w:rFonts w:ascii="Times New Roman" w:hAnsi="Times New Roman" w:eastAsia="宋体" w:cs="Times New Roman"/>
          <w:b/>
          <w:sz w:val="30"/>
          <w:szCs w:val="30"/>
          <w:u w:val="single"/>
        </w:rPr>
        <w:t xml:space="preserve">       2023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级               </w:t>
      </w:r>
    </w:p>
    <w:p w14:paraId="147747EA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培养层次：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</w:t>
      </w:r>
      <w:r>
        <w:rPr>
          <w:rFonts w:ascii="Times New Roman" w:hAnsi="Times New Roman" w:eastAsia="宋体" w:cs="Times New Roman"/>
          <w:b/>
          <w:sz w:val="30"/>
          <w:szCs w:val="30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本科               </w:t>
      </w:r>
      <w:r>
        <w:rPr>
          <w:rFonts w:ascii="Times New Roman" w:hAnsi="Times New Roman" w:eastAsia="宋体" w:cs="Times New Roman"/>
          <w:b/>
          <w:sz w:val="30"/>
          <w:szCs w:val="30"/>
          <w:u w:val="single"/>
        </w:rPr>
        <w:t xml:space="preserve">       </w:t>
      </w:r>
    </w:p>
    <w:p w14:paraId="3F0E8B4A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专    业：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</w:t>
      </w:r>
      <w:r>
        <w:rPr>
          <w:rFonts w:ascii="Times New Roman" w:hAnsi="Times New Roman" w:eastAsia="宋体" w:cs="Times New Roman"/>
          <w:b/>
          <w:sz w:val="30"/>
          <w:szCs w:val="30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信息安全与管理              </w:t>
      </w:r>
    </w:p>
    <w:p w14:paraId="2C0260F6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班    级：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</w:t>
      </w:r>
      <w:r>
        <w:rPr>
          <w:rFonts w:ascii="Times New Roman" w:hAnsi="Times New Roman" w:eastAsia="宋体" w:cs="Times New Roman"/>
          <w:b/>
          <w:sz w:val="30"/>
          <w:szCs w:val="30"/>
          <w:u w:val="single"/>
        </w:rPr>
        <w:t xml:space="preserve">  23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级信息安全与管理1班    </w:t>
      </w:r>
    </w:p>
    <w:p w14:paraId="724E975A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  <w:u w:val="single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学    号：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  <w:lang w:val="en-US" w:eastAsia="zh-CN"/>
        </w:rPr>
        <w:t xml:space="preserve">  2310360119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   </w:t>
      </w:r>
    </w:p>
    <w:p w14:paraId="4C115DAB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  <w:u w:val="single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姓    名：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  <w:lang w:val="en-US" w:eastAsia="zh-CN"/>
        </w:rPr>
        <w:t xml:space="preserve">黄飞龙    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   </w:t>
      </w:r>
    </w:p>
    <w:p w14:paraId="51433A45">
      <w:pPr>
        <w:spacing w:line="300" w:lineRule="auto"/>
        <w:ind w:firstLine="2711" w:firstLineChars="900"/>
        <w:rPr>
          <w:rFonts w:ascii="Times New Roman" w:hAnsi="Times New Roman" w:eastAsia="宋体" w:cs="Times New Roman"/>
          <w:b/>
          <w:sz w:val="30"/>
          <w:szCs w:val="30"/>
          <w:u w:val="single"/>
        </w:rPr>
      </w:pPr>
    </w:p>
    <w:p w14:paraId="1B1F380B">
      <w:pPr>
        <w:spacing w:line="300" w:lineRule="auto"/>
        <w:ind w:firstLine="2162" w:firstLineChars="901"/>
        <w:rPr>
          <w:rFonts w:ascii="Times New Roman" w:hAnsi="Times New Roman" w:eastAsia="宋体" w:cs="Times New Roman"/>
          <w:b/>
          <w:sz w:val="30"/>
          <w:szCs w:val="30"/>
          <w:u w:val="single"/>
        </w:rPr>
      </w:pPr>
      <w:r>
        <w:br w:type="page"/>
      </w:r>
    </w:p>
    <w:tbl>
      <w:tblPr>
        <w:tblStyle w:val="5"/>
        <w:tblpPr w:leftFromText="180" w:rightFromText="180" w:vertAnchor="page" w:horzAnchor="page" w:tblpX="8036" w:tblpY="1580"/>
        <w:tblW w:w="2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210"/>
      </w:tblGrid>
      <w:tr w14:paraId="710D5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50" w:type="dxa"/>
            <w:vAlign w:val="center"/>
          </w:tcPr>
          <w:p w14:paraId="17B5C2B5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成绩</w:t>
            </w:r>
          </w:p>
        </w:tc>
        <w:tc>
          <w:tcPr>
            <w:tcW w:w="1210" w:type="dxa"/>
            <w:vAlign w:val="center"/>
          </w:tcPr>
          <w:p w14:paraId="32FB62E3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2DD22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50" w:type="dxa"/>
            <w:vAlign w:val="center"/>
          </w:tcPr>
          <w:p w14:paraId="28AB499A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教师</w:t>
            </w:r>
          </w:p>
          <w:p w14:paraId="4E336080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  <w:tc>
          <w:tcPr>
            <w:tcW w:w="1210" w:type="dxa"/>
            <w:vAlign w:val="center"/>
          </w:tcPr>
          <w:p w14:paraId="2409FA40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</w:tbl>
    <w:p w14:paraId="71CA100C"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-172085</wp:posOffset>
            </wp:positionV>
            <wp:extent cx="2820035" cy="652780"/>
            <wp:effectExtent l="0" t="0" r="18415" b="13970"/>
            <wp:wrapTight wrapText="bothSides">
              <wp:wrapPolygon>
                <wp:start x="1459" y="0"/>
                <wp:lineTo x="0" y="3152"/>
                <wp:lineTo x="0" y="17019"/>
                <wp:lineTo x="1459" y="20802"/>
                <wp:lineTo x="3356" y="20802"/>
                <wp:lineTo x="20720" y="19541"/>
                <wp:lineTo x="21449" y="18280"/>
                <wp:lineTo x="20866" y="10086"/>
                <wp:lineTo x="21449" y="6304"/>
                <wp:lineTo x="20866" y="1891"/>
                <wp:lineTo x="3502" y="0"/>
                <wp:lineTo x="1459" y="0"/>
              </wp:wrapPolygon>
            </wp:wrapTight>
            <wp:docPr id="7165675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567565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5186" cy="6637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D69DC2"/>
    <w:p w14:paraId="176F0FFE">
      <w:pPr>
        <w:jc w:val="center"/>
        <w:rPr>
          <w:b/>
          <w:bCs/>
          <w:sz w:val="52"/>
          <w:szCs w:val="52"/>
        </w:rPr>
      </w:pPr>
    </w:p>
    <w:p w14:paraId="1AC54823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实验（实训）报告</w:t>
      </w:r>
    </w:p>
    <w:p w14:paraId="1D6D176C">
      <w:pPr>
        <w:spacing w:line="480" w:lineRule="auto"/>
        <w:ind w:firstLine="560" w:firstLineChars="200"/>
        <w:rPr>
          <w:b/>
          <w:bCs/>
          <w:sz w:val="28"/>
          <w:szCs w:val="40"/>
          <w:u w:val="single"/>
        </w:rPr>
      </w:pPr>
      <w:r>
        <w:rPr>
          <w:rFonts w:hint="eastAsia"/>
          <w:sz w:val="28"/>
          <w:szCs w:val="40"/>
        </w:rPr>
        <w:t>类型：</w:t>
      </w:r>
      <w:r>
        <w:rPr>
          <w:rFonts w:hint="eastAsia"/>
          <w:sz w:val="28"/>
          <w:szCs w:val="40"/>
        </w:rPr>
        <w:sym w:font="Wingdings" w:char="00A8"/>
      </w:r>
      <w:r>
        <w:rPr>
          <w:rFonts w:hint="eastAsia"/>
          <w:sz w:val="28"/>
          <w:szCs w:val="40"/>
        </w:rPr>
        <w:t xml:space="preserve"> 验证性 </w:t>
      </w:r>
      <w:r>
        <w:rPr>
          <w:rFonts w:hint="eastAsia"/>
          <w:sz w:val="28"/>
          <w:szCs w:val="40"/>
        </w:rPr>
        <w:sym w:font="Wingdings" w:char="00A8"/>
      </w:r>
      <w:r>
        <w:rPr>
          <w:rFonts w:hint="eastAsia"/>
          <w:sz w:val="28"/>
          <w:szCs w:val="40"/>
        </w:rPr>
        <w:t xml:space="preserve"> </w:t>
      </w:r>
      <w:r>
        <w:rPr>
          <w:rFonts w:ascii="宋体" w:hAnsi="宋体" w:eastAsia="宋体" w:cs="宋体"/>
        </w:rPr>
        <w:t>演示性</w:t>
      </w:r>
      <w:r>
        <w:rPr>
          <w:rFonts w:hint="eastAsia"/>
          <w:sz w:val="28"/>
          <w:szCs w:val="40"/>
        </w:rPr>
        <w:t xml:space="preserve"> </w:t>
      </w:r>
      <w:r>
        <w:rPr>
          <w:rFonts w:hint="eastAsia"/>
          <w:sz w:val="28"/>
          <w:szCs w:val="40"/>
        </w:rPr>
        <w:sym w:font="Wingdings" w:char="00FE"/>
      </w:r>
      <w:r>
        <w:rPr>
          <w:rFonts w:hint="eastAsia"/>
          <w:sz w:val="28"/>
          <w:szCs w:val="40"/>
        </w:rPr>
        <w:t xml:space="preserve"> </w:t>
      </w:r>
      <w:r>
        <w:rPr>
          <w:rFonts w:ascii="宋体" w:hAnsi="宋体" w:eastAsia="宋体" w:cs="宋体"/>
        </w:rPr>
        <w:t>综合性</w:t>
      </w:r>
      <w:r>
        <w:rPr>
          <w:rFonts w:hint="eastAsia"/>
          <w:sz w:val="28"/>
          <w:szCs w:val="40"/>
        </w:rPr>
        <w:t xml:space="preserve"> </w:t>
      </w:r>
      <w:r>
        <w:rPr>
          <w:rFonts w:hint="eastAsia"/>
          <w:sz w:val="28"/>
          <w:szCs w:val="40"/>
        </w:rPr>
        <w:sym w:font="Wingdings" w:char="00A8"/>
      </w:r>
      <w:r>
        <w:rPr>
          <w:rFonts w:ascii="宋体" w:hAnsi="宋体" w:eastAsia="宋体" w:cs="宋体"/>
        </w:rPr>
        <w:t>设计研究性</w:t>
      </w:r>
      <w:r>
        <w:rPr>
          <w:rFonts w:hint="eastAsia"/>
          <w:sz w:val="28"/>
          <w:szCs w:val="40"/>
        </w:rPr>
        <w:t xml:space="preserve"> </w:t>
      </w:r>
      <w:r>
        <w:rPr>
          <w:rFonts w:hint="eastAsia"/>
          <w:sz w:val="28"/>
          <w:szCs w:val="40"/>
        </w:rPr>
        <w:sym w:font="Wingdings" w:char="00A8"/>
      </w:r>
      <w:r>
        <w:rPr>
          <w:rFonts w:hint="eastAsia"/>
          <w:sz w:val="28"/>
          <w:szCs w:val="40"/>
        </w:rPr>
        <w:t xml:space="preserve"> 其他：</w:t>
      </w:r>
      <w:r>
        <w:rPr>
          <w:rFonts w:hint="eastAsia"/>
          <w:sz w:val="28"/>
          <w:szCs w:val="40"/>
          <w:u w:val="single"/>
        </w:rPr>
        <w:t xml:space="preserve">       </w:t>
      </w:r>
    </w:p>
    <w:p w14:paraId="7D284041">
      <w:pPr>
        <w:jc w:val="center"/>
        <w:rPr>
          <w:b/>
          <w:bCs/>
          <w:szCs w:val="52"/>
        </w:rPr>
      </w:pPr>
    </w:p>
    <w:p w14:paraId="0C35FC65">
      <w:pPr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课程名称</w:t>
      </w:r>
      <w:r>
        <w:rPr>
          <w:b/>
          <w:bCs/>
          <w:sz w:val="28"/>
          <w:szCs w:val="32"/>
        </w:rPr>
        <w:t>：</w:t>
      </w:r>
      <w:r>
        <w:rPr>
          <w:rFonts w:hint="eastAsia"/>
          <w:b/>
          <w:bCs/>
          <w:sz w:val="28"/>
          <w:szCs w:val="32"/>
        </w:rPr>
        <w:t xml:space="preserve">网络安全攻防对抗              </w:t>
      </w:r>
      <w:r>
        <w:rPr>
          <w:rFonts w:hint="eastAsia"/>
          <w:sz w:val="28"/>
          <w:szCs w:val="32"/>
        </w:rPr>
        <w:t xml:space="preserve">  </w:t>
      </w:r>
      <w:r>
        <w:rPr>
          <w:rFonts w:hint="eastAsia"/>
          <w:b/>
          <w:bCs/>
          <w:sz w:val="28"/>
          <w:szCs w:val="32"/>
        </w:rPr>
        <w:t>课程性质：</w:t>
      </w:r>
      <w:r>
        <w:rPr>
          <w:rFonts w:hint="eastAsia"/>
          <w:b/>
          <w:bCs/>
          <w:color w:val="FF0000"/>
          <w:sz w:val="28"/>
          <w:szCs w:val="32"/>
        </w:rPr>
        <w:t>专业核心课</w:t>
      </w:r>
    </w:p>
    <w:p w14:paraId="0E206F0F">
      <w:pPr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项目名称: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 xml:space="preserve">等保2.0二级模拟环境测评实训     </w:t>
      </w:r>
      <w:r>
        <w:rPr>
          <w:rFonts w:hint="eastAsia"/>
          <w:b/>
          <w:bCs/>
          <w:sz w:val="28"/>
          <w:szCs w:val="32"/>
        </w:rPr>
        <w:t>指导教师：肖泽亮</w:t>
      </w:r>
      <w:r>
        <w:rPr>
          <w:rFonts w:hint="eastAsia"/>
          <w:sz w:val="28"/>
          <w:szCs w:val="32"/>
        </w:rPr>
        <w:t xml:space="preserve"> </w:t>
      </w:r>
    </w:p>
    <w:p w14:paraId="2EA9F43B">
      <w:pPr>
        <w:rPr>
          <w:rFonts w:hint="eastAsia"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班级：23信息安全与管理本科01</w:t>
      </w:r>
      <w:r>
        <w:rPr>
          <w:rFonts w:hint="eastAsia"/>
          <w:sz w:val="28"/>
          <w:szCs w:val="32"/>
        </w:rPr>
        <w:t xml:space="preserve"> </w:t>
      </w:r>
    </w:p>
    <w:p w14:paraId="39C722AD">
      <w:pPr>
        <w:rPr>
          <w:rFonts w:hint="eastAsia"/>
          <w:sz w:val="28"/>
          <w:szCs w:val="32"/>
        </w:rPr>
      </w:pPr>
      <w:r>
        <w:rPr>
          <w:rFonts w:hint="eastAsia"/>
          <w:b/>
          <w:bCs/>
          <w:sz w:val="28"/>
          <w:szCs w:val="32"/>
          <w:u w:val="single"/>
          <w:lang w:val="en-US" w:eastAsia="zh-CN"/>
        </w:rPr>
        <w:t>小组成员</w:t>
      </w:r>
      <w:r>
        <w:rPr>
          <w:rFonts w:hint="eastAsia"/>
          <w:b/>
          <w:bCs/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 xml:space="preserve"> </w:t>
      </w:r>
    </w:p>
    <w:p w14:paraId="16512B2D">
      <w:pPr>
        <w:rPr>
          <w:rFonts w:hint="eastAsia"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学生姓名：梁启金</w:t>
      </w:r>
      <w:r>
        <w:rPr>
          <w:rFonts w:hint="eastAsia"/>
          <w:b/>
          <w:bCs/>
          <w:sz w:val="28"/>
          <w:szCs w:val="32"/>
          <w:lang w:val="en-US" w:eastAsia="zh-CN"/>
        </w:rPr>
        <w:t xml:space="preserve">        </w:t>
      </w:r>
      <w:r>
        <w:rPr>
          <w:rFonts w:hint="eastAsia"/>
          <w:b/>
          <w:bCs/>
          <w:sz w:val="28"/>
          <w:szCs w:val="32"/>
        </w:rPr>
        <w:t>学号：</w:t>
      </w:r>
      <w:r>
        <w:rPr>
          <w:rFonts w:hint="eastAsia"/>
          <w:sz w:val="28"/>
          <w:szCs w:val="32"/>
        </w:rPr>
        <w:t xml:space="preserve">2310360118 </w:t>
      </w:r>
    </w:p>
    <w:p w14:paraId="6011DEDB">
      <w:pPr>
        <w:rPr>
          <w:rFonts w:hint="eastAsia"/>
          <w:b w:val="0"/>
          <w:bCs w:val="0"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学生姓名：杨华龙</w:t>
      </w:r>
      <w:r>
        <w:rPr>
          <w:rFonts w:hint="eastAsia"/>
          <w:b/>
          <w:bCs/>
          <w:sz w:val="28"/>
          <w:szCs w:val="32"/>
          <w:lang w:val="en-US" w:eastAsia="zh-CN"/>
        </w:rPr>
        <w:t xml:space="preserve">        </w:t>
      </w:r>
      <w:r>
        <w:rPr>
          <w:rFonts w:hint="eastAsia"/>
          <w:b/>
          <w:bCs/>
          <w:sz w:val="28"/>
          <w:szCs w:val="32"/>
        </w:rPr>
        <w:t>学号：</w:t>
      </w:r>
      <w:r>
        <w:rPr>
          <w:rFonts w:hint="eastAsia"/>
          <w:b w:val="0"/>
          <w:bCs w:val="0"/>
          <w:sz w:val="28"/>
          <w:szCs w:val="32"/>
        </w:rPr>
        <w:t>2310360141</w:t>
      </w:r>
    </w:p>
    <w:p w14:paraId="65B0ED70">
      <w:pPr>
        <w:rPr>
          <w:rFonts w:hint="eastAsia"/>
          <w:b w:val="0"/>
          <w:bCs w:val="0"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学生姓名：严晖</w:t>
      </w:r>
      <w:r>
        <w:rPr>
          <w:rFonts w:hint="eastAsia"/>
          <w:b/>
          <w:bCs/>
          <w:sz w:val="28"/>
          <w:szCs w:val="32"/>
          <w:lang w:val="en-US" w:eastAsia="zh-CN"/>
        </w:rPr>
        <w:t xml:space="preserve">          </w:t>
      </w:r>
      <w:r>
        <w:rPr>
          <w:rFonts w:hint="eastAsia"/>
          <w:b/>
          <w:bCs/>
          <w:sz w:val="28"/>
          <w:szCs w:val="32"/>
        </w:rPr>
        <w:t>学号：</w:t>
      </w:r>
      <w:r>
        <w:rPr>
          <w:rFonts w:hint="eastAsia"/>
          <w:b w:val="0"/>
          <w:bCs w:val="0"/>
          <w:sz w:val="28"/>
          <w:szCs w:val="32"/>
        </w:rPr>
        <w:t>2310360152</w:t>
      </w:r>
    </w:p>
    <w:p w14:paraId="1FFF25E5">
      <w:pPr>
        <w:rPr>
          <w:rFonts w:hint="eastAsia"/>
          <w:b w:val="0"/>
          <w:bCs w:val="0"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学生姓名：吴广龙</w:t>
      </w:r>
      <w:r>
        <w:rPr>
          <w:rFonts w:hint="eastAsia"/>
          <w:b/>
          <w:bCs/>
          <w:sz w:val="28"/>
          <w:szCs w:val="32"/>
          <w:lang w:val="en-US" w:eastAsia="zh-CN"/>
        </w:rPr>
        <w:t xml:space="preserve">        </w:t>
      </w:r>
      <w:r>
        <w:rPr>
          <w:rFonts w:hint="eastAsia"/>
          <w:b/>
          <w:bCs/>
          <w:sz w:val="28"/>
          <w:szCs w:val="32"/>
        </w:rPr>
        <w:t>学号：</w:t>
      </w:r>
      <w:r>
        <w:rPr>
          <w:rFonts w:hint="eastAsia"/>
          <w:b w:val="0"/>
          <w:bCs w:val="0"/>
          <w:sz w:val="28"/>
          <w:szCs w:val="32"/>
        </w:rPr>
        <w:t>2310360110</w:t>
      </w:r>
    </w:p>
    <w:p w14:paraId="7B99F63B">
      <w:pPr>
        <w:rPr>
          <w:rFonts w:hint="eastAsia"/>
          <w:b w:val="0"/>
          <w:bCs w:val="0"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学生姓名：</w:t>
      </w:r>
      <w:r>
        <w:rPr>
          <w:rFonts w:hint="eastAsia"/>
          <w:b/>
          <w:bCs/>
          <w:sz w:val="28"/>
          <w:szCs w:val="32"/>
          <w:lang w:val="en-US" w:eastAsia="zh-CN"/>
        </w:rPr>
        <w:t xml:space="preserve">莫久毅        </w:t>
      </w:r>
      <w:r>
        <w:rPr>
          <w:rFonts w:hint="eastAsia"/>
          <w:b/>
          <w:bCs/>
          <w:sz w:val="28"/>
          <w:szCs w:val="32"/>
        </w:rPr>
        <w:t>学号：</w:t>
      </w:r>
      <w:r>
        <w:rPr>
          <w:rFonts w:hint="eastAsia"/>
          <w:b w:val="0"/>
          <w:bCs w:val="0"/>
          <w:sz w:val="28"/>
          <w:szCs w:val="32"/>
        </w:rPr>
        <w:t>2310360127</w:t>
      </w:r>
    </w:p>
    <w:p w14:paraId="1824E366">
      <w:pPr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学生姓名：庞舜耀</w:t>
      </w:r>
      <w:r>
        <w:rPr>
          <w:rFonts w:hint="eastAsia"/>
          <w:b/>
          <w:bCs/>
          <w:sz w:val="28"/>
          <w:szCs w:val="32"/>
          <w:lang w:val="en-US" w:eastAsia="zh-CN"/>
        </w:rPr>
        <w:t xml:space="preserve">        </w:t>
      </w:r>
      <w:r>
        <w:rPr>
          <w:rFonts w:hint="eastAsia"/>
          <w:b/>
          <w:bCs/>
          <w:sz w:val="28"/>
          <w:szCs w:val="32"/>
        </w:rPr>
        <w:t>学号：</w:t>
      </w:r>
      <w:r>
        <w:rPr>
          <w:rFonts w:hint="eastAsia"/>
          <w:b w:val="0"/>
          <w:bCs w:val="0"/>
          <w:sz w:val="28"/>
          <w:szCs w:val="32"/>
        </w:rPr>
        <w:t>2310360116</w:t>
      </w:r>
    </w:p>
    <w:p w14:paraId="17F1FD86">
      <w:pPr>
        <w:rPr>
          <w:rFonts w:hint="default"/>
          <w:b w:val="0"/>
          <w:bCs w:val="0"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</w:rPr>
        <w:t>学生姓名：涂嘉威</w:t>
      </w:r>
      <w:r>
        <w:rPr>
          <w:rFonts w:hint="eastAsia"/>
          <w:b/>
          <w:bCs/>
          <w:sz w:val="28"/>
          <w:szCs w:val="32"/>
          <w:lang w:val="en-US" w:eastAsia="zh-CN"/>
        </w:rPr>
        <w:t xml:space="preserve">       </w:t>
      </w:r>
      <w:bookmarkStart w:id="18" w:name="_GoBack"/>
      <w:bookmarkEnd w:id="18"/>
      <w:r>
        <w:rPr>
          <w:rFonts w:hint="eastAsia"/>
          <w:b/>
          <w:bCs/>
          <w:sz w:val="28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2"/>
        </w:rPr>
        <w:t>学号：</w:t>
      </w:r>
      <w:r>
        <w:rPr>
          <w:rFonts w:hint="eastAsia"/>
          <w:b w:val="0"/>
          <w:bCs w:val="0"/>
          <w:sz w:val="28"/>
          <w:szCs w:val="32"/>
        </w:rPr>
        <w:t>2310360104</w:t>
      </w:r>
    </w:p>
    <w:p w14:paraId="502F0551">
      <w:pPr>
        <w:rPr>
          <w:rFonts w:hint="eastAsia"/>
          <w:sz w:val="28"/>
          <w:szCs w:val="32"/>
        </w:rPr>
      </w:pPr>
    </w:p>
    <w:p w14:paraId="021F84D5">
      <w:pPr>
        <w:spacing w:before="312" w:beforeLines="100"/>
        <w:ind w:firstLine="723" w:firstLineChars="200"/>
        <w:rPr>
          <w:rFonts w:ascii="黑体" w:hAnsi="黑体" w:eastAsia="黑体"/>
          <w:sz w:val="32"/>
          <w:szCs w:val="36"/>
        </w:rPr>
      </w:pPr>
      <w:r>
        <w:rPr>
          <w:b/>
          <w:bCs/>
          <w:sz w:val="36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99695</wp:posOffset>
                </wp:positionV>
                <wp:extent cx="6078855" cy="0"/>
                <wp:effectExtent l="0" t="0" r="36195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885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35pt;margin-top:7.85pt;height:0pt;width:478.65pt;z-index:251660288;mso-width-relative:page;mso-height-relative:page;" filled="f" stroked="t" coordsize="21600,21600" o:gfxdata="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huhG2QAA&#10;AAgBAAAPAAAAAAAAAAEAIAAAACIAAABkcnMvZG93bnJldi54bWxQSwECFAAUAAAACACHTuJAoLKg&#10;6eQBAAC0AwAADgAAAAAAAAABACAAAAAoAQAAZHJzL2Uyb0RvYy54bWxQSwUGAAAAAAYABgBZAQAA&#10;fgUAAAAA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32"/>
          <w:szCs w:val="36"/>
        </w:rPr>
        <w:t>一</w:t>
      </w:r>
      <w:r>
        <w:rPr>
          <w:rFonts w:ascii="黑体" w:hAnsi="黑体" w:eastAsia="黑体"/>
          <w:sz w:val="32"/>
          <w:szCs w:val="36"/>
        </w:rPr>
        <w:t>、</w:t>
      </w:r>
      <w:r>
        <w:rPr>
          <w:rFonts w:hint="eastAsia" w:ascii="黑体" w:hAnsi="黑体" w:eastAsia="黑体"/>
          <w:sz w:val="32"/>
          <w:szCs w:val="36"/>
        </w:rPr>
        <w:t>实验（实训）目的和</w:t>
      </w:r>
      <w:r>
        <w:rPr>
          <w:rFonts w:ascii="黑体" w:hAnsi="黑体" w:eastAsia="黑体"/>
          <w:sz w:val="32"/>
          <w:szCs w:val="36"/>
        </w:rPr>
        <w:t>任务</w:t>
      </w:r>
    </w:p>
    <w:p w14:paraId="0E37A152">
      <w:pPr>
        <w:spacing w:before="300" w:after="120" w:line="288" w:lineRule="auto"/>
        <w:ind w:firstLine="600" w:firstLineChars="200"/>
        <w:jc w:val="left"/>
        <w:outlineLvl w:val="2"/>
      </w:pPr>
      <w:bookmarkStart w:id="0" w:name="heading_1"/>
      <w:r>
        <w:rPr>
          <w:rFonts w:ascii="Arial" w:hAnsi="Arial" w:eastAsia="等线" w:cs="Arial"/>
          <w:b/>
          <w:sz w:val="30"/>
        </w:rPr>
        <w:t>（一）实训目的</w:t>
      </w:r>
      <w:bookmarkEnd w:id="0"/>
    </w:p>
    <w:p w14:paraId="07347447">
      <w:pPr>
        <w:ind w:firstLine="480" w:firstLineChars="200"/>
      </w:pPr>
      <w:r>
        <w:t>1.深入掌握信息安全等级保护2.0二级标准（GB/T 22239-2019）的核心要求，理解等保二级五大安全层面（安全物理环境、安全通信网络、安全区域边界、安全计算环境、安全管理中心）的测评要点。</w:t>
      </w:r>
    </w:p>
    <w:p w14:paraId="025D75BA">
      <w:pPr>
        <w:ind w:firstLine="480" w:firstLineChars="200"/>
      </w:pPr>
      <w:r>
        <w:t>2.结合本组分配的模拟环境，掌握等保二级测评的基本流程、方法和工具，能够准确识别模拟环境中的等保不合规点，判断风险等级（高/中/低危）。</w:t>
      </w:r>
    </w:p>
    <w:p w14:paraId="567A214F">
      <w:pPr>
        <w:ind w:firstLine="480" w:firstLineChars="200"/>
      </w:pPr>
      <w:r>
        <w:t>3.学会根据测评结果，分析不合规点存在的安全风险，制定针对性的整改方案，提升等保合规意识和实操测评能力。</w:t>
      </w:r>
    </w:p>
    <w:p w14:paraId="265CAB25">
      <w:pPr>
        <w:ind w:firstLine="480" w:firstLineChars="200"/>
      </w:pPr>
      <w:r>
        <w:t>4.通过分组实训，培养团队协作能力和问题解决能力，为后续从事等保测评、网络安全运维等相关工作打下坚实基础。</w:t>
      </w:r>
    </w:p>
    <w:p w14:paraId="4C1E73F2">
      <w:pPr>
        <w:spacing w:before="300" w:after="120" w:line="288" w:lineRule="auto"/>
        <w:ind w:firstLine="600" w:firstLineChars="200"/>
        <w:jc w:val="left"/>
        <w:outlineLvl w:val="2"/>
      </w:pPr>
      <w:bookmarkStart w:id="1" w:name="heading_2"/>
      <w:r>
        <w:rPr>
          <w:rFonts w:ascii="Arial" w:hAnsi="Arial" w:eastAsia="等线" w:cs="Arial"/>
          <w:b/>
          <w:sz w:val="30"/>
        </w:rPr>
        <w:t>（二）实训任务</w:t>
      </w:r>
      <w:bookmarkEnd w:id="1"/>
    </w:p>
    <w:p w14:paraId="4752EC05">
      <w:pPr>
        <w:ind w:firstLine="480" w:firstLineChars="200"/>
      </w:pPr>
      <w:r>
        <w:t>1.领取本组模拟环境，熟悉环境的核心设备配置、系统版本及核心功能，梳理环境中的网络拓扑和资产清单。</w:t>
      </w:r>
    </w:p>
    <w:p w14:paraId="5335653D">
      <w:pPr>
        <w:ind w:firstLine="480" w:firstLineChars="200"/>
      </w:pPr>
      <w:r>
        <w:t>2.依据等保2.0二级标准，对模拟环境进行全面测评，逐一核查设备配置和系统设置，填写等保测评表，明确不合规点、风险等级及扣分原因。</w:t>
      </w:r>
    </w:p>
    <w:p w14:paraId="4279C4CE">
      <w:pPr>
        <w:ind w:firstLine="480" w:firstLineChars="200"/>
      </w:pPr>
      <w:r>
        <w:t>3.汇总本组测评结果，分析不合规点带来的安全风险，重点剖析高危不合规点的危害及产生原因。</w:t>
      </w:r>
    </w:p>
    <w:p w14:paraId="547FDF09">
      <w:pPr>
        <w:ind w:firstLine="480" w:firstLineChars="200"/>
      </w:pPr>
      <w:r>
        <w:t>4.针对所有不合规点，制定科学、可行的整改方案，明确整改措施、整改优先级和整改时限。</w:t>
      </w:r>
    </w:p>
    <w:p w14:paraId="489C520E">
      <w:pPr>
        <w:ind w:firstLine="480" w:firstLineChars="200"/>
      </w:pPr>
      <w:r>
        <w:rPr>
          <w:rFonts w:hint="eastAsia"/>
        </w:rPr>
        <w:t>5.</w:t>
      </w:r>
      <w:r>
        <w:t>整理实训过程中的操作记录、测评数据和分析结果，完成本次实训报告的撰写。</w:t>
      </w:r>
    </w:p>
    <w:p w14:paraId="3004D19B">
      <w:pPr>
        <w:ind w:firstLine="640" w:firstLineChars="2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二、</w:t>
      </w:r>
      <w:r>
        <w:rPr>
          <w:rFonts w:ascii="Arial" w:hAnsi="Arial" w:eastAsia="等线" w:cs="Arial"/>
          <w:b/>
          <w:sz w:val="32"/>
        </w:rPr>
        <w:t>实训环境与工具</w:t>
      </w:r>
    </w:p>
    <w:p w14:paraId="43E9FE13">
      <w:pPr>
        <w:spacing w:before="300" w:after="120" w:line="288" w:lineRule="auto"/>
        <w:ind w:firstLine="600" w:firstLineChars="200"/>
        <w:jc w:val="left"/>
        <w:outlineLvl w:val="2"/>
      </w:pPr>
      <w:bookmarkStart w:id="2" w:name="heading_4"/>
      <w:r>
        <w:rPr>
          <w:rFonts w:ascii="Arial" w:hAnsi="Arial" w:eastAsia="等线" w:cs="Arial"/>
          <w:b/>
          <w:sz w:val="30"/>
        </w:rPr>
        <w:t>（一）实训环境</w:t>
      </w:r>
      <w:bookmarkEnd w:id="2"/>
    </w:p>
    <w:p w14:paraId="02C505C8">
      <w:pPr>
        <w:spacing w:before="120" w:after="120" w:line="288" w:lineRule="auto"/>
        <w:ind w:firstLine="440" w:firstLineChars="200"/>
        <w:jc w:val="left"/>
      </w:pPr>
      <w:r>
        <w:rPr>
          <w:rFonts w:ascii="Arial" w:hAnsi="Arial" w:eastAsia="等线" w:cs="Arial"/>
          <w:sz w:val="22"/>
        </w:rPr>
        <w:t>本次实训采用分组模式，每组对应1个等保2.0二级模拟环境，本组分配的模拟环境详情如下：</w:t>
      </w:r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70D3219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7B8C31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项目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BE1908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具体内容</w:t>
            </w:r>
          </w:p>
        </w:tc>
      </w:tr>
      <w:tr w14:paraId="3A7E7C0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BCAE51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分组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783B0E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第__</w:t>
            </w:r>
            <w:r>
              <w:rPr>
                <w:rFonts w:ascii="Arial" w:hAnsi="Arial" w:eastAsia="等线" w:cs="Arial"/>
                <w:sz w:val="22"/>
                <w:u w:val="single"/>
              </w:rPr>
              <w:t>_</w:t>
            </w:r>
            <w:r>
              <w:rPr>
                <w:rFonts w:hint="eastAsia" w:ascii="Arial" w:hAnsi="Arial" w:eastAsia="等线" w:cs="Arial"/>
                <w:sz w:val="22"/>
                <w:u w:val="single"/>
              </w:rPr>
              <w:t>二</w:t>
            </w:r>
            <w:r>
              <w:rPr>
                <w:rFonts w:ascii="Arial" w:hAnsi="Arial" w:eastAsia="等线" w:cs="Arial"/>
                <w:sz w:val="22"/>
                <w:u w:val="single"/>
              </w:rPr>
              <w:t>_</w:t>
            </w:r>
            <w:r>
              <w:rPr>
                <w:rFonts w:ascii="Arial" w:hAnsi="Arial" w:eastAsia="等线" w:cs="Arial"/>
                <w:sz w:val="22"/>
              </w:rPr>
              <w:t>__组</w:t>
            </w:r>
          </w:p>
        </w:tc>
      </w:tr>
      <w:tr w14:paraId="053A53C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67E5C4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模拟环境类型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E65AE9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3"/>
                <w:szCs w:val="23"/>
                <w:u w:val="single"/>
                <w:shd w:val="clear" w:color="auto" w:fill="FFFFFF"/>
              </w:rPr>
              <w:t>校园图书馆查询系统</w:t>
            </w:r>
            <w:r>
              <w:rPr>
                <w:rFonts w:ascii="Arial" w:hAnsi="Arial" w:eastAsia="等线" w:cs="Arial"/>
                <w:sz w:val="22"/>
              </w:rPr>
              <w:t>（如：企业小型办公系统/校园图书馆查询系统等）</w:t>
            </w:r>
          </w:p>
        </w:tc>
      </w:tr>
      <w:tr w14:paraId="1E115E2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AD6099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核心设备与系统配置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5F9CDA">
            <w:pPr>
              <w:spacing w:before="120" w:after="120" w:line="288" w:lineRule="auto"/>
              <w:ind w:firstLine="462" w:firstLineChars="200"/>
              <w:jc w:val="left"/>
            </w:pPr>
            <w:r>
              <w:rPr>
                <w:rStyle w:val="8"/>
                <w:rFonts w:ascii="Segoe UI" w:hAnsi="Segoe UI" w:cs="Segoe UI"/>
                <w:color w:val="0F1115"/>
                <w:sz w:val="23"/>
                <w:szCs w:val="23"/>
                <w:u w:val="single"/>
                <w:shd w:val="clear" w:color="auto" w:fill="FFFFFF"/>
              </w:rPr>
              <w:t>1. 应用服务器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u w:val="single"/>
                <w:shd w:val="clear" w:color="auto" w:fill="FFFFFF"/>
              </w:rPr>
              <w:t>：1台，CentOS 7 + Tomcat 9，部署图书馆查询Web应用。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u w:val="single"/>
              </w:rPr>
              <w:br w:type="textWrapping"/>
            </w:r>
            <w:r>
              <w:rPr>
                <w:rStyle w:val="8"/>
                <w:rFonts w:ascii="Segoe UI" w:hAnsi="Segoe UI" w:cs="Segoe UI"/>
                <w:color w:val="0F1115"/>
                <w:sz w:val="23"/>
                <w:szCs w:val="23"/>
                <w:u w:val="single"/>
                <w:shd w:val="clear" w:color="auto" w:fill="FFFFFF"/>
              </w:rPr>
              <w:t>2. 数据库服务器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u w:val="single"/>
                <w:shd w:val="clear" w:color="auto" w:fill="FFFFFF"/>
              </w:rPr>
              <w:t>：1台，Windows Server 2019 + MySQL 5.7，存储图书信息、读者借阅数据。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u w:val="single"/>
              </w:rPr>
              <w:br w:type="textWrapping"/>
            </w:r>
            <w:r>
              <w:rPr>
                <w:rStyle w:val="8"/>
                <w:rFonts w:ascii="Segoe UI" w:hAnsi="Segoe UI" w:cs="Segoe UI"/>
                <w:color w:val="0F1115"/>
                <w:sz w:val="23"/>
                <w:szCs w:val="23"/>
                <w:u w:val="single"/>
                <w:shd w:val="clear" w:color="auto" w:fill="FFFFFF"/>
              </w:rPr>
              <w:t>3. 防火墙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u w:val="single"/>
                <w:shd w:val="clear" w:color="auto" w:fill="FFFFFF"/>
              </w:rPr>
              <w:t>：1台，华为USG6000E（基础版），隔离内外网、控制访问端口</w:t>
            </w:r>
            <w:r>
              <w:rPr>
                <w:rFonts w:ascii="Arial" w:hAnsi="Arial" w:eastAsia="等线" w:cs="Arial"/>
                <w:sz w:val="22"/>
                <w:u w:val="single"/>
              </w:rPr>
              <w:t>____________</w:t>
            </w:r>
            <w:r>
              <w:rPr>
                <w:rFonts w:ascii="Arial" w:hAnsi="Arial" w:eastAsia="等线" w:cs="Arial"/>
                <w:sz w:val="22"/>
              </w:rPr>
              <w:t>____（参照本组模拟环境表格，详细填写设备类型、数量、型号/系统版本及核心功能）</w:t>
            </w:r>
          </w:p>
        </w:tc>
      </w:tr>
      <w:tr w14:paraId="60F83CB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556A2A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预设不合规点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4F3E64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高危___</w:t>
            </w:r>
            <w:r>
              <w:rPr>
                <w:rFonts w:ascii="Arial" w:hAnsi="Arial" w:eastAsia="等线" w:cs="Arial"/>
                <w:sz w:val="22"/>
                <w:u w:val="single"/>
              </w:rPr>
              <w:t>2</w:t>
            </w:r>
            <w:r>
              <w:rPr>
                <w:rFonts w:ascii="Arial" w:hAnsi="Arial" w:eastAsia="等线" w:cs="Arial"/>
                <w:sz w:val="22"/>
              </w:rPr>
              <w:t>___个：_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u w:val="single"/>
                <w:shd w:val="clear" w:color="auto" w:fill="FFFFFF"/>
              </w:rPr>
              <w:t>1. 数据库root账号无密码；2. Web应用存在SQL注入漏洞。</w:t>
            </w:r>
            <w:r>
              <w:rPr>
                <w:rFonts w:ascii="Arial" w:hAnsi="Arial" w:eastAsia="等线" w:cs="Arial"/>
                <w:sz w:val="22"/>
              </w:rPr>
              <w:t>；</w:t>
            </w:r>
          </w:p>
          <w:p w14:paraId="358AC039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中危___3___个：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u w:val="single"/>
                <w:shd w:val="clear" w:color="auto" w:fill="FFFFFF"/>
              </w:rPr>
              <w:t>1. 防火墙未限制访问IP；2. 应用服务器日志未开启；3. 数据库未做定期备份。</w:t>
            </w:r>
            <w:r>
              <w:rPr>
                <w:rFonts w:ascii="Arial" w:hAnsi="Arial" w:eastAsia="等线" w:cs="Arial"/>
                <w:sz w:val="22"/>
              </w:rPr>
              <w:t>；</w:t>
            </w:r>
          </w:p>
          <w:p w14:paraId="36D693FE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低危__3____个：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u w:val="single"/>
                <w:shd w:val="clear" w:color="auto" w:fill="FFFFFF"/>
              </w:rPr>
              <w:t>1. 防火墙日志存储周期仅7天；2. Web应用存在已知低危漏洞；3. 未部署入侵检测功能。</w:t>
            </w:r>
            <w:r>
              <w:rPr>
                <w:rFonts w:ascii="Arial" w:hAnsi="Arial" w:eastAsia="等线" w:cs="Arial"/>
                <w:sz w:val="22"/>
              </w:rPr>
              <w:t>（参照本组模拟环境表格，简要罗列）</w:t>
            </w:r>
          </w:p>
        </w:tc>
      </w:tr>
      <w:tr w14:paraId="7037420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3EBA63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关键测评维度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812362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3"/>
                <w:szCs w:val="23"/>
                <w:u w:val="single"/>
                <w:shd w:val="clear" w:color="auto" w:fill="FFFFFF"/>
              </w:rPr>
              <w:t>访问控制、漏洞修复、日志审计、数据备份与恢复、身份鉴别</w:t>
            </w:r>
            <w:r>
              <w:rPr>
                <w:rFonts w:ascii="Arial" w:hAnsi="Arial" w:eastAsia="等线" w:cs="Arial"/>
                <w:sz w:val="22"/>
              </w:rPr>
              <w:t>（如：身份鉴别、数据备份、终端防护等）</w:t>
            </w:r>
          </w:p>
        </w:tc>
      </w:tr>
    </w:tbl>
    <w:p w14:paraId="12EC5E03">
      <w:pPr>
        <w:spacing w:before="120" w:after="120" w:line="288" w:lineRule="auto"/>
        <w:ind w:firstLine="440" w:firstLineChars="200"/>
        <w:jc w:val="left"/>
      </w:pPr>
      <w:r>
        <w:rPr>
          <w:rFonts w:ascii="Arial" w:hAnsi="Arial" w:eastAsia="等线" w:cs="Arial"/>
          <w:sz w:val="22"/>
        </w:rPr>
        <w:t>实训环境为封闭的虚拟机集群+物理实训设备，独立网段，与外网物理隔离，所有操作仅在模拟环境内生效，无真实网络安全风险。</w:t>
      </w:r>
    </w:p>
    <w:p w14:paraId="10DF4261">
      <w:pPr>
        <w:spacing w:before="300" w:after="120" w:line="288" w:lineRule="auto"/>
        <w:ind w:firstLine="600" w:firstLineChars="200"/>
        <w:jc w:val="left"/>
        <w:outlineLvl w:val="2"/>
      </w:pPr>
      <w:bookmarkStart w:id="3" w:name="heading_5"/>
      <w:r>
        <w:rPr>
          <w:rFonts w:ascii="Arial" w:hAnsi="Arial" w:eastAsia="等线" w:cs="Arial"/>
          <w:b/>
          <w:sz w:val="30"/>
        </w:rPr>
        <w:t>（二）实训工具</w:t>
      </w:r>
      <w:bookmarkEnd w:id="3"/>
    </w:p>
    <w:p w14:paraId="600239EF">
      <w:pPr>
        <w:ind w:firstLine="480" w:firstLineChars="200"/>
      </w:pPr>
      <w:r>
        <w:t>1.测评工具：等保2.0二级测评表（设备安全、计算安全、网络设备等专项表格）、漏洞扫描工具（Nessus）、端口扫描工具（nmap）。</w:t>
      </w:r>
    </w:p>
    <w:p w14:paraId="50757697">
      <w:pPr>
        <w:ind w:firstLine="480" w:firstLineChars="200"/>
      </w:pPr>
      <w:r>
        <w:t>2.运维工具：Xshell远程连接工具、Wireshark抓包工具、服务器/网络设备管理终端。</w:t>
      </w:r>
    </w:p>
    <w:p w14:paraId="455366DB">
      <w:pPr>
        <w:ind w:firstLine="480" w:firstLineChars="200"/>
      </w:pPr>
      <w:r>
        <w:t>3.辅助工具：Excel表格（用于汇总不合规点、整理测评数据）、实训记录本（用于记录操作步骤和测评结果）。</w:t>
      </w:r>
    </w:p>
    <w:p w14:paraId="2B9DBDE5">
      <w:pPr>
        <w:spacing w:before="320" w:after="120" w:line="288" w:lineRule="auto"/>
        <w:ind w:firstLine="640" w:firstLineChars="200"/>
        <w:jc w:val="left"/>
        <w:outlineLvl w:val="1"/>
      </w:pPr>
      <w:bookmarkStart w:id="4" w:name="heading_6"/>
      <w:r>
        <w:rPr>
          <w:rFonts w:ascii="Arial" w:hAnsi="Arial" w:eastAsia="等线" w:cs="Arial"/>
          <w:b/>
          <w:sz w:val="32"/>
        </w:rPr>
        <w:t>三、实训原理与测评流程</w:t>
      </w:r>
      <w:bookmarkEnd w:id="4"/>
    </w:p>
    <w:p w14:paraId="5D8AC7F7">
      <w:pPr>
        <w:spacing w:before="300" w:after="120" w:line="288" w:lineRule="auto"/>
        <w:ind w:firstLine="600" w:firstLineChars="200"/>
        <w:jc w:val="left"/>
        <w:outlineLvl w:val="2"/>
      </w:pPr>
      <w:bookmarkStart w:id="5" w:name="heading_7"/>
      <w:r>
        <w:rPr>
          <w:rFonts w:ascii="Arial" w:hAnsi="Arial" w:eastAsia="等线" w:cs="Arial"/>
          <w:b/>
          <w:sz w:val="30"/>
        </w:rPr>
        <w:t>（一）实训原理</w:t>
      </w:r>
      <w:bookmarkEnd w:id="5"/>
    </w:p>
    <w:p w14:paraId="30263D67">
      <w:pPr>
        <w:spacing w:before="120" w:after="120" w:line="288" w:lineRule="auto"/>
        <w:ind w:firstLine="440" w:firstLineChars="200"/>
        <w:jc w:val="left"/>
      </w:pPr>
      <w:r>
        <w:rPr>
          <w:rFonts w:ascii="Arial" w:hAnsi="Arial" w:eastAsia="等线" w:cs="Arial"/>
          <w:sz w:val="22"/>
        </w:rPr>
        <w:t>信息安全等级保护2.0二级标准（GB/T 22239-2019）是针对中小型企业、机构信息系统的基础安全保护标准，核心是“分级保护、合规管控”，通过五大安全层面构建基础的安全防护体系，保障信息系统的保密性、完整性、可用性。</w:t>
      </w:r>
    </w:p>
    <w:p w14:paraId="460E56C2">
      <w:pPr>
        <w:spacing w:before="120" w:after="120" w:line="288" w:lineRule="auto"/>
        <w:ind w:firstLine="440" w:firstLineChars="200"/>
        <w:jc w:val="left"/>
      </w:pPr>
      <w:r>
        <w:rPr>
          <w:rFonts w:ascii="Arial" w:hAnsi="Arial" w:eastAsia="等线" w:cs="Arial"/>
          <w:sz w:val="22"/>
        </w:rPr>
        <w:t>等保二级测评的核心原理是“对照标准、逐一核查”，通过比对等保2.0二级测评要求，核查模拟环境中设备配置、系统设置、安全策略等是否符合标准，识别不合规点并划分风险等级，最终形成测评结果，提出整改建议，推动环境达到等保二级合规要求。</w:t>
      </w:r>
    </w:p>
    <w:p w14:paraId="2F232F1D">
      <w:pPr>
        <w:spacing w:before="300" w:after="120" w:line="288" w:lineRule="auto"/>
        <w:ind w:firstLine="600" w:firstLineChars="200"/>
        <w:jc w:val="left"/>
        <w:outlineLvl w:val="2"/>
      </w:pPr>
      <w:bookmarkStart w:id="6" w:name="heading_8"/>
      <w:r>
        <w:rPr>
          <w:rFonts w:ascii="Arial" w:hAnsi="Arial" w:eastAsia="等线" w:cs="Arial"/>
          <w:b/>
          <w:sz w:val="30"/>
        </w:rPr>
        <w:t>（二）测评流程</w:t>
      </w:r>
      <w:bookmarkEnd w:id="6"/>
    </w:p>
    <w:p w14:paraId="73D32ED1">
      <w:pPr>
        <w:ind w:firstLine="480" w:firstLineChars="200"/>
      </w:pPr>
      <w:r>
        <w:t>1.环境熟悉阶段：领取本组模拟环境资料，梳理设备清单、系统配置和核心功能，明确环境的网络拓扑和业务场景，为后续测评奠定基础。</w:t>
      </w:r>
    </w:p>
    <w:p w14:paraId="07B80C7A">
      <w:pPr>
        <w:ind w:firstLine="480" w:firstLineChars="200"/>
      </w:pPr>
      <w:r>
        <w:t>2.标准学习阶段：复习等保2.0二级标准，明确五大安全层面的核心测评项、测评要求，掌握不同测评项的评分标准（符合=满分、基本符合=60%分、不符合=0分）。</w:t>
      </w:r>
    </w:p>
    <w:p w14:paraId="3AC3643C">
      <w:pPr>
        <w:ind w:firstLine="480" w:firstLineChars="200"/>
      </w:pPr>
      <w:r>
        <w:t>3.全面核查阶段：对照等保测评表，逐一核查模拟环境中的设备（路由器、交换机、服务器、终端）和系统，记录核查结果，识别不合规点，标注风险等级。</w:t>
      </w:r>
    </w:p>
    <w:p w14:paraId="74E9294F">
      <w:pPr>
        <w:ind w:firstLine="480" w:firstLineChars="200"/>
      </w:pPr>
      <w:r>
        <w:t>4.结果汇总阶段：整理核查数据，计算测评总分，汇总不合规点清单，分析不合规点的安全风险及产生原因。</w:t>
      </w:r>
    </w:p>
    <w:p w14:paraId="2FE2C1E6">
      <w:pPr>
        <w:ind w:firstLine="480" w:firstLineChars="200"/>
      </w:pPr>
      <w:r>
        <w:t>5.整改方案制定阶段：针对每个不合规点，结合等保标准要求，制定具体、可行的整改措施，明确整改优先级和整改时限。</w:t>
      </w:r>
    </w:p>
    <w:p w14:paraId="29355452">
      <w:pPr>
        <w:ind w:firstLine="480" w:firstLineChars="200"/>
      </w:pPr>
      <w:r>
        <w:t>6.报告撰写阶段：整理实训全过程的操作记录、测评数据、风险分析和整改方案，完成实训报告的撰写和完善。</w:t>
      </w:r>
    </w:p>
    <w:p w14:paraId="7DF0975D">
      <w:pPr>
        <w:pStyle w:val="10"/>
        <w:ind w:left="420" w:firstLine="480"/>
      </w:pPr>
    </w:p>
    <w:p w14:paraId="11EBD93A">
      <w:pPr>
        <w:pStyle w:val="10"/>
        <w:ind w:left="420" w:firstLine="480"/>
      </w:pPr>
    </w:p>
    <w:p w14:paraId="1FF94516">
      <w:pPr>
        <w:pStyle w:val="10"/>
        <w:ind w:left="420" w:firstLine="480"/>
      </w:pPr>
    </w:p>
    <w:p w14:paraId="38DC2D9E">
      <w:pPr>
        <w:pStyle w:val="10"/>
        <w:ind w:left="420" w:firstLine="480"/>
      </w:pPr>
    </w:p>
    <w:p w14:paraId="71CECAF5">
      <w:pPr>
        <w:pStyle w:val="10"/>
        <w:ind w:left="420" w:firstLine="480"/>
      </w:pPr>
    </w:p>
    <w:p w14:paraId="254CFA90">
      <w:pPr>
        <w:pStyle w:val="10"/>
        <w:ind w:left="420" w:firstLine="480"/>
      </w:pPr>
    </w:p>
    <w:p w14:paraId="15352CF9">
      <w:pPr>
        <w:widowControl/>
        <w:spacing w:line="240" w:lineRule="auto"/>
        <w:ind w:firstLine="640" w:firstLineChars="200"/>
        <w:jc w:val="left"/>
        <w:rPr>
          <w:rFonts w:ascii="黑体" w:hAnsi="黑体" w:eastAsia="黑体"/>
          <w:sz w:val="32"/>
          <w:szCs w:val="36"/>
        </w:rPr>
      </w:pPr>
      <w:r>
        <w:rPr>
          <w:rFonts w:ascii="黑体" w:hAnsi="黑体" w:eastAsia="黑体"/>
          <w:sz w:val="32"/>
          <w:szCs w:val="36"/>
        </w:rPr>
        <w:br w:type="page"/>
      </w:r>
    </w:p>
    <w:p w14:paraId="340B0AF3">
      <w:pPr>
        <w:spacing w:before="320" w:after="120" w:line="288" w:lineRule="auto"/>
        <w:ind w:firstLine="640" w:firstLineChars="200"/>
        <w:jc w:val="left"/>
        <w:outlineLvl w:val="1"/>
      </w:pPr>
      <w:bookmarkStart w:id="7" w:name="heading_9"/>
      <w:r>
        <w:rPr>
          <w:rFonts w:ascii="Arial" w:hAnsi="Arial" w:eastAsia="等线" w:cs="Arial"/>
          <w:b/>
          <w:sz w:val="32"/>
        </w:rPr>
        <w:t>四、实训过程与测评结果</w:t>
      </w:r>
      <w:bookmarkEnd w:id="7"/>
    </w:p>
    <w:p w14:paraId="26AFD27D">
      <w:pPr>
        <w:spacing w:before="300" w:after="120" w:line="288" w:lineRule="auto"/>
        <w:ind w:firstLine="600" w:firstLineChars="200"/>
        <w:jc w:val="left"/>
        <w:outlineLvl w:val="2"/>
      </w:pPr>
      <w:bookmarkStart w:id="8" w:name="heading_10"/>
      <w:r>
        <w:rPr>
          <w:rFonts w:ascii="Arial" w:hAnsi="Arial" w:eastAsia="等线" w:cs="Arial"/>
          <w:b/>
          <w:sz w:val="30"/>
        </w:rPr>
        <w:t>（一）实训过程记录</w:t>
      </w:r>
      <w:bookmarkEnd w:id="8"/>
    </w:p>
    <w:p w14:paraId="422AC074">
      <w:pPr>
        <w:ind w:firstLine="480" w:firstLineChars="200"/>
      </w:pPr>
      <w:r>
        <w:t>本次实训严格按照等保二级测评流程开展，具体过程如下：</w:t>
      </w:r>
    </w:p>
    <w:p w14:paraId="7D260112">
      <w:pPr>
        <w:ind w:firstLine="480" w:firstLineChars="200"/>
      </w:pPr>
      <w:r>
        <w:t>1.环境熟悉（第1课时）：领取本组模拟环境资料，明确环境类型和核心设备，梳理出设备清单和系统配置，绘制简易网络拓扑图，熟悉环境的业务场景和预设的安全隐患。</w:t>
      </w:r>
    </w:p>
    <w:p w14:paraId="36041510">
      <w:pPr>
        <w:ind w:firstLine="480" w:firstLineChars="200"/>
      </w:pPr>
      <w:r>
        <w:t>2.标准对照与核查（第2-3课时）：结合等保2.0二级测评表，分工对环境中的路由器、交换机、服务器、终端等设备进行逐一核查，使用漏洞扫描工具辅助识别漏洞，记录每个测评项的核查结果，初步识别不合规点并标注风险等级。</w:t>
      </w:r>
    </w:p>
    <w:p w14:paraId="55A8D4A9">
      <w:pPr>
        <w:ind w:firstLine="480" w:firstLineChars="200"/>
      </w:pPr>
      <w:r>
        <w:t>3.风险分析与数据汇总（第4课时）：小组讨论核查结果，确认不合规点的准确性，分析每个不合规点带来的安全风险（重点分析高危不合规点），计算测评总分，整理不合规点汇总表。</w:t>
      </w:r>
    </w:p>
    <w:p w14:paraId="48F34D08">
      <w:pPr>
        <w:ind w:firstLine="480" w:firstLineChars="200"/>
      </w:pPr>
      <w:r>
        <w:t>4.整改方案制定（第5课时）：针对所有不合规点，结合等保标准要求，制定针对性的整改措施，明确整改优先级（高危→中危→低危）和整改时限，确保整改措施可落地、可验证。</w:t>
      </w:r>
    </w:p>
    <w:p w14:paraId="38DF0C7D">
      <w:pPr>
        <w:ind w:firstLine="480" w:firstLineChars="200"/>
      </w:pPr>
      <w:r>
        <w:t>5.报告撰写（课后）：整理实训过程中的所有资料，包括操作记录、测评表、不合规点汇总表、整改方案等，按照实训报告规范，完成报告撰写和修改。</w:t>
      </w:r>
    </w:p>
    <w:p w14:paraId="5FEEF66B">
      <w:pPr>
        <w:spacing w:before="300" w:after="120" w:line="288" w:lineRule="auto"/>
        <w:ind w:firstLine="600" w:firstLineChars="200"/>
        <w:jc w:val="left"/>
        <w:outlineLvl w:val="2"/>
      </w:pPr>
      <w:bookmarkStart w:id="9" w:name="heading_11"/>
      <w:r>
        <w:rPr>
          <w:rFonts w:ascii="Arial" w:hAnsi="Arial" w:eastAsia="等线" w:cs="Arial"/>
          <w:b/>
          <w:sz w:val="30"/>
        </w:rPr>
        <w:t>（二）测评结果汇总</w:t>
      </w:r>
      <w:bookmarkEnd w:id="9"/>
    </w:p>
    <w:p w14:paraId="6D704CFF">
      <w:pPr>
        <w:spacing w:before="260" w:after="120" w:line="288" w:lineRule="auto"/>
        <w:ind w:firstLine="560" w:firstLineChars="200"/>
        <w:jc w:val="left"/>
        <w:outlineLvl w:val="3"/>
      </w:pPr>
      <w:bookmarkStart w:id="10" w:name="heading_12"/>
      <w:r>
        <w:rPr>
          <w:rFonts w:ascii="Arial" w:hAnsi="Arial" w:eastAsia="等线" w:cs="Arial"/>
          <w:b/>
          <w:sz w:val="28"/>
        </w:rPr>
        <w:t>1. 测评总分与合规结论</w:t>
      </w:r>
      <w:bookmarkEnd w:id="10"/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26D7D02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46C295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测评对象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A38FFE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本组等保2.0二级模拟环境（</w:t>
            </w:r>
            <w:r>
              <w:rPr>
                <w:rFonts w:hint="eastAsia" w:ascii="仿宋" w:hAnsi="仿宋" w:eastAsia="仿宋" w:cs="仿宋"/>
                <w:u w:val="single"/>
              </w:rPr>
              <w:t>校园图书馆查询系统</w:t>
            </w:r>
            <w:r>
              <w:rPr>
                <w:rFonts w:ascii="Arial" w:hAnsi="Arial" w:eastAsia="等线" w:cs="Arial"/>
                <w:sz w:val="22"/>
              </w:rPr>
              <w:t>）</w:t>
            </w:r>
          </w:p>
        </w:tc>
      </w:tr>
      <w:tr w14:paraId="1D78021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592995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测评依据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9D028F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GB/T 22239-2019《信息安全技术 网络安全等级保护基本要求》（二级）</w:t>
            </w:r>
          </w:p>
        </w:tc>
      </w:tr>
      <w:tr w14:paraId="299A555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F4F38A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测评总分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2FBE0B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__</w:t>
            </w:r>
            <w:r>
              <w:rPr>
                <w:rFonts w:ascii="Arial" w:hAnsi="Arial" w:eastAsia="等线" w:cs="Arial"/>
                <w:sz w:val="22"/>
                <w:u w:val="single"/>
              </w:rPr>
              <w:t>63</w:t>
            </w:r>
            <w:r>
              <w:rPr>
                <w:rFonts w:ascii="Arial" w:hAnsi="Arial" w:eastAsia="等线" w:cs="Arial"/>
                <w:sz w:val="22"/>
              </w:rPr>
              <w:t>__分（满分100分）</w:t>
            </w:r>
          </w:p>
        </w:tc>
      </w:tr>
      <w:tr w14:paraId="6044559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C96817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合规结论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AB00A3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□ 合规（总分≥80分） √ 基本合规（60分≤总分＜80分） □ 不合规（总分＜60分）</w:t>
            </w:r>
          </w:p>
        </w:tc>
      </w:tr>
    </w:tbl>
    <w:p w14:paraId="38945CAB">
      <w:pPr>
        <w:spacing w:before="260" w:after="120" w:line="288" w:lineRule="auto"/>
        <w:ind w:firstLine="560" w:firstLineChars="200"/>
        <w:jc w:val="left"/>
        <w:outlineLvl w:val="3"/>
      </w:pPr>
      <w:bookmarkStart w:id="11" w:name="heading_13"/>
      <w:r>
        <w:rPr>
          <w:rFonts w:ascii="Arial" w:hAnsi="Arial" w:eastAsia="等线" w:cs="Arial"/>
          <w:b/>
          <w:sz w:val="28"/>
        </w:rPr>
        <w:t>2. 不合规点汇总（重点填写）</w:t>
      </w:r>
      <w:bookmarkEnd w:id="11"/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80"/>
        <w:gridCol w:w="1380"/>
        <w:gridCol w:w="1380"/>
        <w:gridCol w:w="1380"/>
        <w:gridCol w:w="1380"/>
        <w:gridCol w:w="1380"/>
      </w:tblGrid>
      <w:tr w14:paraId="7133690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B3EBA8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645636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不合规点内容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4C28B6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所属安全层面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C2B8D0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风险等级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38F693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对应测评项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585EA2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扣分原因</w:t>
            </w:r>
          </w:p>
        </w:tc>
      </w:tr>
      <w:tr w14:paraId="3723E1F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504AD1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530CB8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数据库服务器 MySQL 的 root 账户未设置密码，可空口令登录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1BABB1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安全计算环境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96454C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√ 高危 □ 中危 □ 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ED3D97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 xml:space="preserve">身份鉴别 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60AEEF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未对数据库管理员进行身份标识和鉴别，存在数据被窃取或篡改的风险</w:t>
            </w:r>
          </w:p>
        </w:tc>
      </w:tr>
      <w:tr w14:paraId="0A823BC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9F893A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607C7D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Web 应用图书搜索模块未对用户输入做过滤，存在 SQL 注入漏洞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94C284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安全计算环境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F72C80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√ 高危 □ 中危 □ 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730F94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 xml:space="preserve">入侵防范 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297BE2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应用系统未防范 SQL 注入攻击，可能导致数据泄露或数据库被破坏</w:t>
            </w:r>
          </w:p>
        </w:tc>
      </w:tr>
      <w:tr w14:paraId="22A1EA7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3C47B7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980C13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防火墙策略仅开放了 80 端口，但源 IP 设置为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any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，外网可直接访问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141184">
            <w:pPr>
              <w:spacing w:before="120" w:after="120" w:line="288" w:lineRule="auto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安全区域边界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F0BBE9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□ 高危 √ 中危 □ 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65B403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 xml:space="preserve">访问控制 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B78CD0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未对访问源地址进行限制，扩大了攻击面，违背了最小权限原则</w:t>
            </w:r>
          </w:p>
        </w:tc>
      </w:tr>
      <w:tr w14:paraId="52AF2F8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ACCE71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789E84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防火墙日志存储周期为 7 天，低于等保二级要求的 3 个月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660326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安全管理中心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939070">
            <w:pPr>
              <w:spacing w:before="120" w:after="120" w:line="288" w:lineRule="auto"/>
              <w:ind w:firstLine="440" w:firstLineChars="200"/>
              <w:jc w:val="left"/>
            </w:pPr>
            <w:r>
              <w:rPr>
                <w:rFonts w:ascii="Arial" w:hAnsi="Arial" w:eastAsia="等线" w:cs="Arial"/>
                <w:sz w:val="22"/>
              </w:rPr>
              <w:t>□ 高危 □ 中危 √低危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18E50A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 xml:space="preserve">集中管控 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178DFE">
            <w:pPr>
              <w:spacing w:before="120" w:after="120" w:line="288" w:lineRule="auto"/>
              <w:ind w:firstLine="460" w:firstLineChars="200"/>
              <w:jc w:val="left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日志留存时间不足，无法满足事后追查和审计的要求</w:t>
            </w:r>
          </w:p>
        </w:tc>
      </w:tr>
      <w:tr w14:paraId="7CA2633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F524DE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hint="eastAsia" w:ascii="Arial" w:hAnsi="Arial" w:eastAsia="等线" w:cs="Arial"/>
                <w:sz w:val="22"/>
              </w:rPr>
              <w:t>5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944B4A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应用服务器（CentOS）未开启 Tomcat 访问日志和系统日志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192C6C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安全计算环境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CA2391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□ 高危 √ 中危 □ 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C36716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安全审计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56A91C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无法记录用户行为和系统事件，发生安全事件后无法追溯</w:t>
            </w:r>
          </w:p>
        </w:tc>
      </w:tr>
      <w:tr w14:paraId="54CC72F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C5698E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hint="eastAsia" w:ascii="Arial" w:hAnsi="Arial" w:eastAsia="等线" w:cs="Arial"/>
                <w:sz w:val="22"/>
              </w:rPr>
              <w:t>6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6F637F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数据库服务器（MySQL）未配置任何形式的定期备份策略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48E32B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安全计算环境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3FAEE7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□ 高危 √ 中危 □ 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25BC4C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数据备份恢复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B56410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一旦数据损坏或丢失，将无法恢复，影响业务连续性</w:t>
            </w:r>
          </w:p>
        </w:tc>
      </w:tr>
      <w:tr w14:paraId="2C1650A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63F7BA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hint="eastAsia" w:ascii="Arial" w:hAnsi="Arial" w:eastAsia="等线" w:cs="Arial"/>
                <w:sz w:val="22"/>
              </w:rPr>
              <w:t>7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236DAB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Tomcat 版本未更新至最新，存在公开的低危漏洞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32FD75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安全计算环境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323E28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□ 高危 □ 中危 √低危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875768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漏洞和风险管理</w:t>
            </w:r>
            <w:r>
              <w:rPr>
                <w:rFonts w:hint="eastAsia"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v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30E036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系统未及时更新补丁，存在被利用进行低影响攻击的风险</w:t>
            </w:r>
          </w:p>
        </w:tc>
      </w:tr>
      <w:tr w14:paraId="25FD379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202899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hint="eastAsia" w:ascii="Arial" w:hAnsi="Arial" w:eastAsia="等线" w:cs="Arial"/>
                <w:sz w:val="22"/>
              </w:rPr>
              <w:t>8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C255F1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网络中未部署入侵检测系统，无法发现异常访问行为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67C8CF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安全区域边界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8F60E7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□ 高危 □ 中危 √低危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853E21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入侵防范 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AD6B60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无法对网络攻击行为进行监测和报警，缺乏纵深防御能力</w:t>
            </w:r>
          </w:p>
        </w:tc>
      </w:tr>
      <w:tr w14:paraId="57290B2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4A5D0A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E049E3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7F49AF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3A653D">
            <w:pPr>
              <w:spacing w:before="120" w:after="120" w:line="288" w:lineRule="auto"/>
              <w:ind w:firstLine="440" w:firstLineChars="200"/>
              <w:jc w:val="left"/>
              <w:rPr>
                <w:rFonts w:ascii="Arial" w:hAnsi="Arial" w:eastAsia="等线" w:cs="Arial"/>
                <w:sz w:val="22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4AA482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95F6C8">
            <w:pPr>
              <w:spacing w:before="120" w:after="120" w:line="288" w:lineRule="auto"/>
              <w:ind w:firstLine="460" w:firstLineChars="200"/>
              <w:jc w:val="left"/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</w:p>
        </w:tc>
      </w:tr>
    </w:tbl>
    <w:p w14:paraId="25C00BD1">
      <w:pPr>
        <w:spacing w:before="120" w:after="120" w:line="288" w:lineRule="auto"/>
        <w:ind w:firstLine="440" w:firstLineChars="200"/>
        <w:jc w:val="left"/>
      </w:pPr>
      <w:r>
        <w:rPr>
          <w:rFonts w:ascii="Arial" w:hAnsi="Arial" w:eastAsia="等线" w:cs="Arial"/>
          <w:sz w:val="22"/>
        </w:rPr>
        <w:t>说明：需按照本组模拟环境的预设不合规点，逐一填写，确保每个不合规点对应等保2.0二级测评项，扣分原因贴合实际情况。</w:t>
      </w:r>
    </w:p>
    <w:p w14:paraId="5392115D">
      <w:pPr>
        <w:spacing w:before="260" w:after="120" w:line="288" w:lineRule="auto"/>
        <w:ind w:firstLine="560" w:firstLineChars="200"/>
        <w:jc w:val="left"/>
        <w:outlineLvl w:val="3"/>
      </w:pPr>
      <w:bookmarkStart w:id="12" w:name="heading_14"/>
      <w:r>
        <w:rPr>
          <w:rFonts w:ascii="Arial" w:hAnsi="Arial" w:eastAsia="等线" w:cs="Arial"/>
          <w:b/>
          <w:sz w:val="28"/>
        </w:rPr>
        <w:t>3. 高危不合规点风险分析</w:t>
      </w:r>
      <w:bookmarkEnd w:id="12"/>
    </w:p>
    <w:p w14:paraId="25B0FEB8">
      <w:pPr>
        <w:spacing w:before="120" w:after="120" w:line="288" w:lineRule="auto"/>
        <w:ind w:firstLine="440" w:firstLineChars="200"/>
        <w:jc w:val="left"/>
      </w:pPr>
      <w:r>
        <w:rPr>
          <w:rFonts w:ascii="Arial" w:hAnsi="Arial" w:eastAsia="等线" w:cs="Arial"/>
          <w:sz w:val="22"/>
        </w:rPr>
        <w:t>针对本组模拟环境中的高危不合规点，重点分析其带来的安全风险，结合环境的业务场景，说明风险可能造成的危害：</w:t>
      </w:r>
    </w:p>
    <w:p w14:paraId="12289BD5">
      <w:pPr>
        <w:ind w:firstLine="480" w:firstLineChars="200"/>
      </w:pPr>
      <w:r>
        <w:t>1.不合规点1：</w:t>
      </w:r>
      <w:r>
        <w:rPr>
          <w:rStyle w:val="8"/>
          <w:rFonts w:ascii="Segoe UI" w:hAnsi="Segoe UI" w:cs="Segoe UI"/>
          <w:b w:val="0"/>
          <w:bCs w:val="0"/>
          <w:color w:val="0F1115"/>
          <w:u w:val="single"/>
          <w:shd w:val="clear" w:color="auto" w:fill="FFFFFF"/>
        </w:rPr>
        <w:t>数据库 root 账号无密码</w:t>
      </w:r>
      <w:r>
        <w:t>（高危）</w:t>
      </w:r>
    </w:p>
    <w:p w14:paraId="3AEEFCB1">
      <w:pPr>
        <w:ind w:firstLine="480" w:firstLineChars="200"/>
      </w:pPr>
      <w:r>
        <w:t>2.风险分析：</w:t>
      </w:r>
      <w:r>
        <w:rPr>
          <w:rFonts w:hint="eastAsia"/>
          <w:u w:val="single"/>
        </w:rPr>
        <w:t xml:space="preserve"> </w:t>
      </w:r>
      <w:r>
        <w:rPr>
          <w:rFonts w:ascii="Segoe UI" w:hAnsi="Segoe UI" w:cs="Segoe UI"/>
          <w:color w:val="0F1115"/>
          <w:u w:val="single"/>
          <w:shd w:val="clear" w:color="auto" w:fill="FFFFFF"/>
        </w:rPr>
        <w:t>数据库服务器存储了所有读者信息（包括姓名、学号、借阅历史）和图书数据。root 账号作为数据库的超级管理员，空口令意味着任何能够连接到该数据库的人员（如通过内网渗透或应用服务器跳板）都可以无需认证直接获取最高权限。攻击者可以拖走整个数据库，导致数万条师生敏感信息泄露；也可以恶意篡改或删除所有图书数据，导致图书馆查询系统瘫痪，严重影响教学与科研秩序。这违反了《数据安全法》对数据采取技术措施保护的要求</w:t>
      </w:r>
      <w:r>
        <w:rPr>
          <w:rFonts w:hint="eastAsia" w:ascii="Segoe UI" w:hAnsi="Segoe UI" w:cs="Segoe UI"/>
          <w:color w:val="0F1115"/>
          <w:u w:val="single"/>
          <w:shd w:val="clear" w:color="auto" w:fill="FFFFFF"/>
        </w:rPr>
        <w:t>。</w:t>
      </w:r>
      <w:r>
        <w:t>（如：管理员弱口令可能导致攻击者非法登录设备，篡改配置、窃取数据，影响系统正常运行；数据明文存储可能导致敏感信息泄露，违反数据安全相关要求等）</w:t>
      </w:r>
    </w:p>
    <w:p w14:paraId="7D60E29F">
      <w:pPr>
        <w:ind w:firstLine="480" w:firstLineChars="200"/>
      </w:pPr>
      <w:r>
        <w:t>3.不合规点2：</w:t>
      </w:r>
      <w:r>
        <w:rPr>
          <w:rStyle w:val="8"/>
          <w:rFonts w:ascii="Segoe UI" w:hAnsi="Segoe UI" w:cs="Segoe UI"/>
          <w:b w:val="0"/>
          <w:bCs w:val="0"/>
          <w:color w:val="0F1115"/>
          <w:u w:val="single"/>
          <w:shd w:val="clear" w:color="auto" w:fill="FFFFFF"/>
        </w:rPr>
        <w:t>Web应用存在简单SQL注入漏洞</w:t>
      </w:r>
      <w:r>
        <w:t>（高危）</w:t>
      </w:r>
    </w:p>
    <w:p w14:paraId="10CAE11B">
      <w:pPr>
        <w:ind w:firstLine="480" w:firstLineChars="200"/>
        <w:rPr>
          <w:rFonts w:ascii="Segoe UI" w:hAnsi="Segoe UI" w:cs="Segoe UI"/>
          <w:color w:val="0F1115"/>
          <w:u w:val="single"/>
          <w:shd w:val="clear" w:color="auto" w:fill="FFFFFF"/>
        </w:rPr>
      </w:pPr>
      <w:r>
        <w:t>4.风险分析：</w:t>
      </w:r>
      <w:bookmarkStart w:id="13" w:name="heading_15"/>
      <w:r>
        <w:rPr>
          <w:rFonts w:hint="eastAsia"/>
          <w:u w:val="single"/>
        </w:rPr>
        <w:t xml:space="preserve"> </w:t>
      </w:r>
      <w:r>
        <w:rPr>
          <w:rFonts w:ascii="Segoe UI" w:hAnsi="Segoe UI" w:cs="Segoe UI"/>
          <w:color w:val="0F1115"/>
          <w:u w:val="single"/>
          <w:shd w:val="clear" w:color="auto" w:fill="FFFFFF"/>
        </w:rPr>
        <w:t>图书馆查询系统面向全校师生甚至外网访客开放。在图书搜索框存在 </w:t>
      </w:r>
      <w:r>
        <w:rPr>
          <w:rStyle w:val="9"/>
          <w:rFonts w:ascii="var(--ds-font-family-code)" w:hAnsi="var(--ds-font-family-code)"/>
          <w:color w:val="0F1115"/>
          <w:u w:val="single"/>
        </w:rPr>
        <w:t>' or 1=1--</w:t>
      </w:r>
      <w:r>
        <w:rPr>
          <w:rFonts w:ascii="Segoe UI" w:hAnsi="Segoe UI" w:cs="Segoe UI"/>
          <w:color w:val="0F1115"/>
          <w:u w:val="single"/>
          <w:shd w:val="clear" w:color="auto" w:fill="FFFFFF"/>
        </w:rPr>
        <w:t> 类型的 SQL 注入漏洞，意味着攻击者无需登录，仅通过在搜索框输入恶意代码，即可绕过应用逻辑，直接对后台数据库执行任意 SQL 语句。攻击者可以利用此漏洞读取数据库中的所有表信息，同样会造成上述数据泄露的严重后果；甚至可以写入 Webshell 到服务器，从而控制整个应用服务器，以此为跳板进一步攻击内网其他系统。</w:t>
      </w:r>
    </w:p>
    <w:p w14:paraId="0332011B">
      <w:pPr>
        <w:ind w:firstLine="640" w:firstLineChars="200"/>
      </w:pPr>
      <w:r>
        <w:rPr>
          <w:rFonts w:ascii="Arial" w:hAnsi="Arial" w:eastAsia="等线" w:cs="Arial"/>
          <w:b/>
          <w:sz w:val="32"/>
        </w:rPr>
        <w:t>五、整改方案设计</w:t>
      </w:r>
      <w:bookmarkEnd w:id="13"/>
    </w:p>
    <w:p w14:paraId="30610E6D">
      <w:pPr>
        <w:spacing w:before="120" w:after="120" w:line="288" w:lineRule="auto"/>
        <w:ind w:firstLine="440" w:firstLineChars="200"/>
        <w:jc w:val="left"/>
      </w:pPr>
      <w:r>
        <w:rPr>
          <w:rFonts w:ascii="Arial" w:hAnsi="Arial" w:eastAsia="等线" w:cs="Arial"/>
          <w:sz w:val="22"/>
        </w:rPr>
        <w:t>结合本次测评结果，针对所有不合规点，按照“高危优先、兼顾中低危”的原则，制定以下整改方案，确保整改后环境达到等保2.0二级合规要求：</w:t>
      </w:r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85"/>
        <w:gridCol w:w="1185"/>
        <w:gridCol w:w="1185"/>
        <w:gridCol w:w="1185"/>
        <w:gridCol w:w="1185"/>
        <w:gridCol w:w="1185"/>
        <w:gridCol w:w="1185"/>
      </w:tblGrid>
      <w:tr w14:paraId="761C852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73261F">
            <w:pPr>
              <w:ind w:firstLine="480" w:firstLineChars="200"/>
            </w:pPr>
            <w: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8A386B">
            <w:pPr>
              <w:ind w:firstLine="480" w:firstLineChars="200"/>
            </w:pPr>
            <w:r>
              <w:t>不合规点内容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A353D1">
            <w:pPr>
              <w:ind w:firstLine="480" w:firstLineChars="200"/>
            </w:pPr>
            <w:r>
              <w:t>风险等级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D31E77">
            <w:pPr>
              <w:ind w:firstLine="480" w:firstLineChars="200"/>
            </w:pPr>
            <w:r>
              <w:t>整改措施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449525">
            <w:pPr>
              <w:ind w:firstLine="480" w:firstLineChars="200"/>
            </w:pPr>
            <w:r>
              <w:t>整改优先级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1A8515">
            <w:pPr>
              <w:ind w:firstLine="480" w:firstLineChars="200"/>
            </w:pPr>
            <w:r>
              <w:t>整改时限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704BE6">
            <w:pPr>
              <w:ind w:firstLine="480" w:firstLineChars="200"/>
            </w:pPr>
            <w:r>
              <w:t>整改验证方式</w:t>
            </w:r>
          </w:p>
        </w:tc>
      </w:tr>
      <w:tr w14:paraId="7785264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2D17C3">
            <w:pPr>
              <w:ind w:firstLine="480" w:firstLineChars="200"/>
            </w:pPr>
            <w: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F57193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数据库 root 账号无密码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12F728">
            <w:pPr>
              <w:ind w:firstLine="480" w:firstLineChars="200"/>
            </w:pPr>
            <w:r>
              <w:t>高危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A0A2CE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使用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mysqladmin -u root password "新强密码"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 或 SQL 命令设置强密码（含大小写字母、数字、特殊字符，长度&gt;12位）。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修改应用配置文件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context.xml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，使用新建的具有最小权限的数据库账号连接数据库，禁止业务直接使用 root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929A8C">
            <w:pPr>
              <w:ind w:firstLine="480" w:firstLineChars="200"/>
            </w:pPr>
            <w:r>
              <w:t>高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3F9AF1">
            <w:pPr>
              <w:ind w:firstLine="480" w:firstLineChars="200"/>
            </w:pPr>
            <w:r>
              <w:t>_</w:t>
            </w:r>
            <w:r>
              <w:rPr>
                <w:u w:val="single"/>
              </w:rPr>
              <w:t>1</w:t>
            </w:r>
            <w:r>
              <w:t>_小时/天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27DE3A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尝试使用空口令登录，提示 Access Denied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检查应用是否能正常访问数据库</w:t>
            </w:r>
          </w:p>
        </w:tc>
      </w:tr>
      <w:tr w14:paraId="2E8CA7A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19FEAE">
            <w:pPr>
              <w:ind w:firstLine="480" w:firstLineChars="200"/>
            </w:pPr>
            <w: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4C3C57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Web应用存在SQL注入漏洞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B3BB5C">
            <w:pPr>
              <w:ind w:firstLine="480" w:firstLineChars="200"/>
            </w:pPr>
            <w:r>
              <w:t>高危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278587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修改 Web 应用源代码，在图书搜索模块使用预编译（PreparedStatement）或参数化查询，替代拼接 SQL 语句。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在防火墙临时配置针对该 Web 服务器的深度防御（IPS）策略，拦截 SQL 注入攻击特征，作为临时过渡措施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3A3C00">
            <w:pPr>
              <w:ind w:firstLine="480" w:firstLineChars="200"/>
            </w:pPr>
            <w:r>
              <w:t>高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1C8911">
            <w:pPr>
              <w:ind w:firstLine="480" w:firstLineChars="200"/>
            </w:pPr>
            <w:r>
              <w:t>_</w:t>
            </w:r>
            <w:r>
              <w:rPr>
                <w:u w:val="single"/>
              </w:rPr>
              <w:t>4</w:t>
            </w:r>
            <w:r>
              <w:t>_小时/天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C32C70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在搜索框输入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' or '1'='1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，返回结果无变化或提示非法输入，不再返回所有数据。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使用漏扫工具复测，该漏洞消失</w:t>
            </w:r>
          </w:p>
        </w:tc>
      </w:tr>
      <w:tr w14:paraId="6C70E2A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0922EF">
            <w:pPr>
              <w:ind w:firstLine="480" w:firstLineChars="200"/>
            </w:pPr>
            <w:r>
              <w:t>3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8E2688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防火墙未限制访问IP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6904FA">
            <w:pPr>
              <w:ind w:firstLine="480" w:firstLineChars="200"/>
            </w:pPr>
            <w:r>
              <w:t>中危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F0AEEF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登录防火墙管理界面，修改安全策略，将源安全地址由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any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 修改为“校园网出口IP地址段”或特定允许访问的地址池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73BE92">
            <w:pPr>
              <w:ind w:firstLine="480" w:firstLineChars="200"/>
            </w:pPr>
            <w:r>
              <w:t>中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62C647">
            <w:pPr>
              <w:ind w:firstLine="480" w:firstLineChars="200"/>
            </w:pPr>
            <w:r>
              <w:t>_</w:t>
            </w:r>
            <w:r>
              <w:rPr>
                <w:u w:val="single"/>
              </w:rPr>
              <w:t>0.5</w:t>
            </w:r>
            <w:r>
              <w:t>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5D4019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在外网模拟终端尝试访问 Web，连接被拒绝。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在校内网模拟终端尝试访问 Web，连接正常</w:t>
            </w:r>
          </w:p>
        </w:tc>
      </w:tr>
      <w:tr w14:paraId="3543029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B45698">
            <w:pPr>
              <w:ind w:firstLine="480" w:firstLineChars="200"/>
            </w:pPr>
            <w:r>
              <w:t>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6ADFF5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防火墙日志存储周期仅7天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1E9292">
            <w:pPr>
              <w:ind w:firstLine="480" w:firstLineChars="200"/>
            </w:pPr>
            <w:r>
              <w:t>低危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E9B957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登录防火墙配置界面，修改日志存储策略，将日志保存时间设置为 </w:t>
            </w:r>
            <w:r>
              <w:rPr>
                <w:rStyle w:val="8"/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90天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 以上，或配置日志服务器（Syslog Server）将日志外发至外部存储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781154">
            <w:pPr>
              <w:ind w:firstLine="480" w:firstLineChars="200"/>
            </w:pPr>
            <w:r>
              <w:t>低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3D8B5F">
            <w:pPr>
              <w:ind w:firstLine="480" w:firstLineChars="200"/>
            </w:pPr>
            <w:r>
              <w:t>_</w:t>
            </w:r>
            <w:r>
              <w:rPr>
                <w:u w:val="single"/>
              </w:rPr>
              <w:t>0.5</w:t>
            </w:r>
            <w:r>
              <w:t>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189CC4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查看防火墙配置，确认存储周期已修改为 90 天，或外发配置正确</w:t>
            </w:r>
          </w:p>
        </w:tc>
      </w:tr>
      <w:tr w14:paraId="13197BE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C635C9">
            <w:pPr>
              <w:ind w:firstLine="480" w:firstLineChars="200"/>
            </w:pPr>
            <w:r>
              <w:t>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0A5A4D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数据库未做定期备份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372698">
            <w:pPr>
              <w:ind w:firstLine="920" w:firstLineChars="400"/>
              <w:rPr>
                <w:b/>
                <w:bCs/>
              </w:rPr>
            </w:pPr>
            <w:r>
              <w:rPr>
                <w:rStyle w:val="8"/>
                <w:rFonts w:hint="eastAsia"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中危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D08143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在 Windows 计划任务中编写脚本，每周执行一次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mysqldump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 全量备份。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开启 MySQL binlog，实现增量备份。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3. 设置备份文件自动拷贝到独立的备份服务器或存储位置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FBE4D8">
            <w:pPr>
              <w:ind w:firstLine="460" w:firstLineChars="200"/>
              <w:rPr>
                <w:b/>
                <w:bCs/>
              </w:rPr>
            </w:pP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高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8715E6">
            <w:r>
              <w:rPr>
                <w:u w:val="single"/>
              </w:rPr>
              <w:t>_2_</w:t>
            </w:r>
            <w:r>
              <w:t>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5FF3D2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检查计划任务是否存在。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手动执行备份脚本，验证备份文件是否生成且可正常恢复</w:t>
            </w:r>
          </w:p>
        </w:tc>
      </w:tr>
      <w:tr w14:paraId="4E8BC8B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F3CE5A">
            <w:pPr>
              <w:ind w:firstLine="480" w:firstLineChars="200"/>
            </w:pPr>
            <w:r>
              <w:rPr>
                <w:rFonts w:hint="eastAsia"/>
              </w:rPr>
              <w:t>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4008F1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应用服务器日志未开启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A3F2DE">
            <w:pPr>
              <w:ind w:firstLine="920" w:firstLineChars="400"/>
              <w:rPr>
                <w:b/>
                <w:bCs/>
              </w:rPr>
            </w:pPr>
            <w:r>
              <w:rPr>
                <w:rStyle w:val="8"/>
                <w:rFonts w:hint="eastAsia"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中危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A92F61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修改 Tomcat 的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server.xml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，配置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AccessLogValve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，开启访问日志。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检查并确保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rsyslog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 服务正常运行，配置日志轮转策略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8B521D">
            <w:pPr>
              <w:ind w:firstLine="460" w:firstLineChars="200"/>
              <w:rPr>
                <w:b/>
                <w:bCs/>
              </w:rPr>
            </w:pP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中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D9ED03">
            <w:pPr>
              <w:ind w:firstLine="480" w:firstLineChars="200"/>
            </w:pPr>
            <w:r>
              <w:rPr>
                <w:rFonts w:hint="eastAsia"/>
                <w:u w:val="single"/>
              </w:rPr>
              <w:t>1</w:t>
            </w:r>
            <w:r>
              <w:t>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667B0F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访问一次 Web 应用。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检查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logs/localhost_access_log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 和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/var/log/messages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 文件，确认有新记录生成</w:t>
            </w:r>
          </w:p>
        </w:tc>
      </w:tr>
      <w:tr w14:paraId="6ED98DB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A0CFC7">
            <w:pPr>
              <w:ind w:firstLine="480" w:firstLineChars="200"/>
            </w:pPr>
            <w:r>
              <w:rPr>
                <w:rFonts w:hint="eastAsia"/>
              </w:rPr>
              <w:t>7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5AD40F">
            <w:pPr>
              <w:widowControl/>
              <w:spacing w:line="240" w:lineRule="auto"/>
              <w:rPr>
                <w:rFonts w:ascii="Segoe UI" w:hAnsi="Segoe UI" w:eastAsia="宋体" w:cs="Segoe UI"/>
                <w:color w:val="0F1115"/>
                <w:kern w:val="0"/>
              </w:rPr>
            </w:pPr>
            <w:r>
              <w:rPr>
                <w:rFonts w:ascii="Segoe UI" w:hAnsi="Segoe UI" w:cs="Segoe UI"/>
                <w:color w:val="0F1115"/>
              </w:rPr>
              <w:t>Tomcat版本存在已知低危漏洞</w:t>
            </w:r>
          </w:p>
          <w:p w14:paraId="2B4FEC52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29D643">
            <w:pPr>
              <w:ind w:firstLine="920" w:firstLineChars="400"/>
              <w:rPr>
                <w:b/>
                <w:bCs/>
              </w:rPr>
            </w:pPr>
            <w:r>
              <w:rPr>
                <w:rStyle w:val="8"/>
                <w:rFonts w:hint="eastAsia"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低危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0DA553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下载最新稳定版的 Tomcat 9 安装包。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备份现有配置文件和应用，平滑升级 Tomcat 版本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8C4AF3">
            <w:pPr>
              <w:ind w:firstLine="460" w:firstLineChars="200"/>
              <w:rPr>
                <w:b/>
                <w:bCs/>
              </w:rPr>
            </w:pP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低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243866">
            <w:pPr>
              <w:ind w:firstLine="480" w:firstLineChars="200"/>
            </w:pPr>
            <w:r>
              <w:rPr>
                <w:rFonts w:hint="eastAsia"/>
                <w:u w:val="single"/>
              </w:rPr>
              <w:t>1</w:t>
            </w:r>
            <w:r>
              <w:t>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947F04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访问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/manager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 或通过 </w:t>
            </w:r>
            <w:r>
              <w:rPr>
                <w:rStyle w:val="9"/>
                <w:rFonts w:ascii="var(--ds-font-family-code)" w:hAnsi="var(--ds-font-family-code)"/>
                <w:color w:val="0F1115"/>
                <w:sz w:val="20"/>
                <w:szCs w:val="20"/>
              </w:rPr>
              <w:t>version.sh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 脚本，查看版本号确为最新。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漏扫工具复测，低危漏洞消失</w:t>
            </w:r>
          </w:p>
        </w:tc>
      </w:tr>
      <w:tr w14:paraId="30A2639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1FDBAA">
            <w:pPr>
              <w:ind w:firstLine="480" w:firstLineChars="200"/>
            </w:pPr>
            <w:r>
              <w:rPr>
                <w:rFonts w:hint="eastAsia"/>
              </w:rPr>
              <w:t>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3AC53B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未部署入侵检测功能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AD0BF3">
            <w:pPr>
              <w:ind w:firstLine="920" w:firstLineChars="400"/>
              <w:rPr>
                <w:b/>
                <w:bCs/>
              </w:rPr>
            </w:pPr>
            <w:r>
              <w:rPr>
                <w:rStyle w:val="8"/>
                <w:rFonts w:hint="eastAsia"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低危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B046DE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1. 在核心交换机上配置端口镜像，将流量引至一台已安装 Suricata/Snort 的虚拟机。</w:t>
            </w:r>
            <w:r>
              <w:rPr>
                <w:rFonts w:ascii="Segoe UI" w:hAnsi="Segoe UI" w:cs="Segoe UI"/>
                <w:color w:val="0F1115"/>
                <w:sz w:val="23"/>
                <w:szCs w:val="23"/>
              </w:rPr>
              <w:br w:type="textWrapping"/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2. 配置基本的告警规则，上线检测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9B6F7E">
            <w:pPr>
              <w:ind w:firstLine="460" w:firstLineChars="200"/>
              <w:rPr>
                <w:b/>
                <w:bCs/>
              </w:rPr>
            </w:pPr>
            <w:r>
              <w:rPr>
                <w:rStyle w:val="8"/>
                <w:rFonts w:ascii="Segoe UI" w:hAnsi="Segoe UI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低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10FB21">
            <w:r>
              <w:rPr>
                <w:rFonts w:hint="eastAsia"/>
                <w:u w:val="single"/>
              </w:rPr>
              <w:t>3</w:t>
            </w:r>
            <w:r>
              <w:t>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7F1056">
            <w:pPr>
              <w:ind w:firstLine="460" w:firstLineChars="200"/>
            </w:pP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模拟一次简单的端口扫描，观察 IDS 管理界面是否能产生对应的告警日志</w:t>
            </w:r>
          </w:p>
        </w:tc>
      </w:tr>
      <w:tr w14:paraId="0992EAA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D2B7F2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E7ABF0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BBD4AD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DADD6C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6D3347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5509BB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6303BA">
            <w:pPr>
              <w:ind w:firstLine="480" w:firstLineChars="200"/>
            </w:pPr>
          </w:p>
        </w:tc>
      </w:tr>
      <w:tr w14:paraId="18CB48A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4030A0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9659EC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046682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DD76C6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2252D5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D0AB77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4ED843">
            <w:pPr>
              <w:ind w:firstLine="480" w:firstLineChars="200"/>
            </w:pPr>
          </w:p>
        </w:tc>
      </w:tr>
      <w:tr w14:paraId="6996E48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ADE423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15ED87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463393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357EF1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53DD29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58402A">
            <w:pPr>
              <w:ind w:firstLine="480" w:firstLineChars="200"/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A27607">
            <w:pPr>
              <w:ind w:firstLine="480" w:firstLineChars="200"/>
            </w:pPr>
          </w:p>
        </w:tc>
      </w:tr>
    </w:tbl>
    <w:p w14:paraId="53B34B19">
      <w:pPr>
        <w:spacing w:before="120" w:after="120" w:line="288" w:lineRule="auto"/>
        <w:ind w:firstLine="440" w:firstLineChars="200"/>
        <w:jc w:val="left"/>
      </w:pPr>
      <w:r>
        <w:rPr>
          <w:rFonts w:ascii="Arial" w:hAnsi="Arial" w:eastAsia="等线" w:cs="Arial"/>
          <w:sz w:val="22"/>
        </w:rPr>
        <w:t>整改说明：整改措施需具体、可操作，结合模拟环境的设备和系统配置，确保整改后能够解决对应的不合规点；整改验证方式需明确，能够有效验证整改效果。</w:t>
      </w:r>
    </w:p>
    <w:p w14:paraId="2054D36D">
      <w:pPr>
        <w:spacing w:before="320" w:after="120" w:line="288" w:lineRule="auto"/>
        <w:ind w:firstLine="640" w:firstLineChars="200"/>
        <w:jc w:val="left"/>
        <w:outlineLvl w:val="1"/>
      </w:pPr>
      <w:bookmarkStart w:id="14" w:name="heading_16"/>
      <w:r>
        <w:rPr>
          <w:rFonts w:ascii="Arial" w:hAnsi="Arial" w:eastAsia="等线" w:cs="Arial"/>
          <w:b/>
          <w:sz w:val="32"/>
        </w:rPr>
        <w:t>六、实训结论与感悟</w:t>
      </w:r>
      <w:bookmarkEnd w:id="14"/>
    </w:p>
    <w:p w14:paraId="713FD22A">
      <w:pPr>
        <w:spacing w:before="300" w:after="120" w:line="288" w:lineRule="auto"/>
        <w:ind w:firstLine="600" w:firstLineChars="200"/>
        <w:jc w:val="left"/>
        <w:outlineLvl w:val="2"/>
      </w:pPr>
      <w:bookmarkStart w:id="15" w:name="heading_17"/>
      <w:r>
        <w:rPr>
          <w:rFonts w:ascii="Arial" w:hAnsi="Arial" w:eastAsia="等线" w:cs="Arial"/>
          <w:b/>
          <w:sz w:val="30"/>
        </w:rPr>
        <w:t>（一）实训结论</w:t>
      </w:r>
      <w:bookmarkEnd w:id="15"/>
    </w:p>
    <w:p w14:paraId="386E7FBB">
      <w:pPr>
        <w:ind w:firstLine="480" w:firstLineChars="200"/>
      </w:pPr>
      <w:r>
        <w:t>1.本次实训通过对本组等保2.0二级模拟环境的全面测评，成功识别出___</w:t>
      </w:r>
      <w:r>
        <w:rPr>
          <w:u w:val="single"/>
        </w:rPr>
        <w:t>4</w:t>
      </w:r>
      <w:r>
        <w:t>__个不合规点，其中高危___</w:t>
      </w:r>
      <w:r>
        <w:rPr>
          <w:u w:val="single"/>
        </w:rPr>
        <w:t>2</w:t>
      </w:r>
      <w:r>
        <w:t>___个、中危__</w:t>
      </w:r>
      <w:r>
        <w:rPr>
          <w:u w:val="single"/>
        </w:rPr>
        <w:t>3</w:t>
      </w:r>
      <w:r>
        <w:t>____个、低危___</w:t>
      </w:r>
      <w:r>
        <w:rPr>
          <w:u w:val="single"/>
        </w:rPr>
        <w:t>3</w:t>
      </w:r>
      <w:r>
        <w:t>__个，测评总分为___</w:t>
      </w:r>
      <w:r>
        <w:rPr>
          <w:u w:val="single"/>
        </w:rPr>
        <w:t>63</w:t>
      </w:r>
      <w:r>
        <w:t>__分，整体结论为___</w:t>
      </w:r>
      <w:r>
        <w:rPr>
          <w:u w:val="single"/>
        </w:rPr>
        <w:t>基本合规</w:t>
      </w:r>
      <w:r>
        <w:t>___（合规/基本合规/不合规），验证了等保2.0二级标准在实际信息系统中的应用要求。</w:t>
      </w:r>
    </w:p>
    <w:p w14:paraId="0227071F">
      <w:pPr>
        <w:ind w:firstLine="480" w:firstLineChars="200"/>
      </w:pPr>
      <w:r>
        <w:t>2.本组模拟环境的不合规点主要集中在_</w:t>
      </w:r>
      <w:r>
        <w:rPr>
          <w:rStyle w:val="8"/>
          <w:rFonts w:ascii="Segoe UI" w:hAnsi="Segoe UI" w:cs="Segoe UI"/>
          <w:b w:val="0"/>
          <w:bCs w:val="0"/>
          <w:color w:val="0F1115"/>
          <w:u w:val="single"/>
          <w:shd w:val="clear" w:color="auto" w:fill="FFFFFF"/>
        </w:rPr>
        <w:t>安全计算环境和安全区域边界</w:t>
      </w:r>
      <w:r>
        <w:t>_____（安全层面，如：安全计算环境、安全区域边界），核心问题包括__</w:t>
      </w:r>
      <w:r>
        <w:rPr>
          <w:rStyle w:val="8"/>
          <w:rFonts w:ascii="Segoe UI" w:hAnsi="Segoe UI" w:cs="Segoe UI"/>
          <w:b w:val="0"/>
          <w:bCs w:val="0"/>
          <w:color w:val="0F1115"/>
          <w:u w:val="single"/>
          <w:shd w:val="clear" w:color="auto" w:fill="FFFFFF"/>
        </w:rPr>
        <w:t>数据库弱口令、Web应用漏洞、访问控制策略粗粒度、日志审计不完善</w:t>
      </w:r>
      <w:r>
        <w:t>____（如：弱口令、数据未加密、日志审计不完善等），这些问题均为中小型企业、机构信息系统等保建设中的常见隐患，反映出等保合规建设的重点的是基础安全防护措施的落实。</w:t>
      </w:r>
    </w:p>
    <w:p w14:paraId="2E48F01A">
      <w:pPr>
        <w:ind w:firstLine="480" w:firstLineChars="200"/>
      </w:pPr>
      <w:r>
        <w:t>3.通过本次测评实训，掌握了等保2.0二级测评的基本流程和方法，能够准确识别不合规点、分析安全风险，并制定针对性的整改方案，达到了实训目的，提升了自身的等保测评实操能力和合规意识。</w:t>
      </w:r>
    </w:p>
    <w:p w14:paraId="3F2FE5FF">
      <w:pPr>
        <w:ind w:firstLine="480" w:firstLineChars="200"/>
      </w:pPr>
      <w:r>
        <w:t>4.等保2.0二级标准的核心是“基础防护、合规管控”，对于中小型信息系统而言，只需落实好身份鉴别、数据备份、漏洞修复、日志审计等基础防护措施，即可基本达到合规要求，为信息系统的安全运行提供保障。</w:t>
      </w:r>
    </w:p>
    <w:p w14:paraId="2B973C3B">
      <w:pPr>
        <w:spacing w:before="300" w:after="120" w:line="288" w:lineRule="auto"/>
        <w:ind w:firstLine="600" w:firstLineChars="200"/>
        <w:jc w:val="left"/>
        <w:outlineLvl w:val="2"/>
      </w:pPr>
      <w:bookmarkStart w:id="16" w:name="heading_18"/>
      <w:r>
        <w:rPr>
          <w:rFonts w:ascii="Arial" w:hAnsi="Arial" w:eastAsia="等线" w:cs="Arial"/>
          <w:b/>
          <w:sz w:val="30"/>
        </w:rPr>
        <w:t>（二）实训感悟</w:t>
      </w:r>
      <w:bookmarkEnd w:id="16"/>
    </w:p>
    <w:p w14:paraId="63EE800B">
      <w:pPr>
        <w:ind w:firstLine="480" w:firstLineChars="200"/>
      </w:pPr>
      <w:r>
        <w:t>通过本次信息安全等级保护2.0二级测评实训，我不仅将课堂上所学的等保理论知识与实操测评相结合，更对等保合规建设的重要性和实操要求有了更深刻的认识和理解。</w:t>
      </w:r>
    </w:p>
    <w:p w14:paraId="4FB31351">
      <w:pPr>
        <w:ind w:firstLine="480" w:firstLineChars="200"/>
      </w:pPr>
      <w:r>
        <w:t>在实训过程中，我深刻体会到“细节决定成败”。等保测评看似繁琐，实则每一个测评项都对应着具体的安全风险，比如简单的弱口令、未开启的日志审计，看似是小问题，却可能成为攻击者突破系统的关键突破口，这也让我明白，等保合规建设不是“形式主义”，而是实实在在的安全防护措施，需要我们严谨细致、逐一落实。</w:t>
      </w:r>
    </w:p>
    <w:p w14:paraId="23F8E4CB">
      <w:pPr>
        <w:ind w:firstLine="480" w:firstLineChars="200"/>
      </w:pPr>
      <w:r>
        <w:t>分组实训的模式也让我感受到了团队协作的重要性。在测评过程中，小组分工合作，有人负责梳理环境、有人负责对照标准核查、有人负责分析风险、有人负责制定整改方案，通过团队协作，不仅提高了实训效率，也让我们在交流中相互学习、相互进步，解决了实训中遇到的各类问题。</w:t>
      </w:r>
    </w:p>
    <w:p w14:paraId="1E6DF579">
      <w:pPr>
        <w:ind w:firstLine="480" w:firstLineChars="200"/>
      </w:pPr>
      <w:r>
        <w:t>同时，我也认识到了自身的不足：在初期熟悉环境时，对部分设备的配置和等保测评项的对应关系掌握不够熟练，导致核查速度较慢；在分析高危不合规点的风险时，考虑不够全面，未能充分结合环境的业务场景分析风险危害。这些都是后续我需要重点提升的方向。</w:t>
      </w:r>
    </w:p>
    <w:p w14:paraId="7B6EDF7F">
      <w:pPr>
        <w:ind w:firstLine="480" w:firstLineChars="200"/>
      </w:pPr>
      <w:r>
        <w:t>此次实训让我树立了更强烈的网络安全合规意识，也让我明白，等保测评是网络安全工作的重要组成部分，是保障信息系统安全的重要手段。未来，我将继续加强等保2.0标准的学习，不断提升自身的实操测评能力和网络安全素养，为后续从事网络安全运维、等保测评等相关工作打下坚实的基础，努力成为一名合格的信息安全从业人员。</w:t>
      </w:r>
    </w:p>
    <w:p w14:paraId="67810258">
      <w:pPr>
        <w:spacing w:before="320" w:after="120" w:line="288" w:lineRule="auto"/>
        <w:ind w:firstLine="640" w:firstLineChars="200"/>
        <w:jc w:val="left"/>
        <w:outlineLvl w:val="1"/>
      </w:pPr>
      <w:bookmarkStart w:id="17" w:name="heading_19"/>
      <w:r>
        <w:rPr>
          <w:rFonts w:ascii="Arial" w:hAnsi="Arial" w:eastAsia="等线" w:cs="Arial"/>
          <w:b/>
          <w:sz w:val="32"/>
        </w:rPr>
        <w:t>七、实训资料附件</w:t>
      </w:r>
      <w:bookmarkEnd w:id="17"/>
    </w:p>
    <w:p w14:paraId="5B43E9DF">
      <w:pPr>
        <w:ind w:firstLine="480" w:firstLineChars="200"/>
      </w:pPr>
      <w:r>
        <w:t>1.本组模拟环境设备配置与不合规点清单</w:t>
      </w:r>
    </w:p>
    <w:p w14:paraId="576FEC2C">
      <w:pPr>
        <w:ind w:firstLine="480" w:firstLineChars="200"/>
      </w:pPr>
      <w:r>
        <w:t>2.等保2.0二级测评表（填写完整）</w:t>
      </w:r>
    </w:p>
    <w:p w14:paraId="7BC43DDB">
      <w:pPr>
        <w:ind w:firstLine="480" w:firstLineChars="200"/>
      </w:pPr>
      <w:r>
        <w:t>3.实训操作记录手册</w:t>
      </w:r>
    </w:p>
    <w:p w14:paraId="3285EDA6">
      <w:pPr>
        <w:ind w:firstLine="480" w:firstLineChars="200"/>
      </w:pPr>
      <w:r>
        <w:t>4.模拟环境网络拓扑图</w:t>
      </w:r>
    </w:p>
    <w:p w14:paraId="56FAD325">
      <w:pPr>
        <w:ind w:firstLine="420"/>
        <w:rPr>
          <w:sz w:val="36"/>
          <w:szCs w:val="36"/>
        </w:rPr>
      </w:pPr>
    </w:p>
    <w:sectPr>
      <w:footerReference r:id="rId5" w:type="default"/>
      <w:pgSz w:w="11906" w:h="16838"/>
      <w:pgMar w:top="2098" w:right="1474" w:bottom="1984" w:left="1587" w:header="851" w:footer="850" w:gutter="0"/>
      <w:pgNumType w:fmt="numberInDash" w:start="1"/>
      <w:cols w:space="0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ar(--ds-font-family-code)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5B95D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1384713516"/>
                          </w:sdtPr>
                          <w:sdtContent>
                            <w:p w14:paraId="233920E4">
                              <w:pPr>
                                <w:pStyle w:val="3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3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61AF941B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384713516"/>
                    </w:sdtPr>
                    <w:sdtContent>
                      <w:p w14:paraId="233920E4">
                        <w:pPr>
                          <w:pStyle w:val="3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3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61AF941B"/>
                </w:txbxContent>
              </v:textbox>
            </v:shape>
          </w:pict>
        </mc:Fallback>
      </mc:AlternateContent>
    </w:r>
  </w:p>
  <w:p w14:paraId="1B34F603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ZjhhYzVlZTc0MDdmNWRiNTI3ZWEwNmJmZTE0OTkifQ=="/>
  </w:docVars>
  <w:rsids>
    <w:rsidRoot w:val="00172A27"/>
    <w:rsid w:val="0001465B"/>
    <w:rsid w:val="00031CD4"/>
    <w:rsid w:val="000C3922"/>
    <w:rsid w:val="000D5ADA"/>
    <w:rsid w:val="000E536A"/>
    <w:rsid w:val="00130FAD"/>
    <w:rsid w:val="00144336"/>
    <w:rsid w:val="00172A27"/>
    <w:rsid w:val="001F4376"/>
    <w:rsid w:val="001F6F2E"/>
    <w:rsid w:val="00234C95"/>
    <w:rsid w:val="002A778F"/>
    <w:rsid w:val="002D406F"/>
    <w:rsid w:val="002D5E8C"/>
    <w:rsid w:val="002E1906"/>
    <w:rsid w:val="0034537A"/>
    <w:rsid w:val="0036325A"/>
    <w:rsid w:val="00396638"/>
    <w:rsid w:val="003E4859"/>
    <w:rsid w:val="00464452"/>
    <w:rsid w:val="004B2876"/>
    <w:rsid w:val="005537AB"/>
    <w:rsid w:val="00576FAB"/>
    <w:rsid w:val="00587396"/>
    <w:rsid w:val="006654FD"/>
    <w:rsid w:val="006859A0"/>
    <w:rsid w:val="006B656C"/>
    <w:rsid w:val="006F7F6F"/>
    <w:rsid w:val="00794702"/>
    <w:rsid w:val="007E126A"/>
    <w:rsid w:val="008072F6"/>
    <w:rsid w:val="00831196"/>
    <w:rsid w:val="00835DB2"/>
    <w:rsid w:val="008721FD"/>
    <w:rsid w:val="008868A3"/>
    <w:rsid w:val="008C3E7F"/>
    <w:rsid w:val="008D23D8"/>
    <w:rsid w:val="00924BE4"/>
    <w:rsid w:val="0093264C"/>
    <w:rsid w:val="009378FD"/>
    <w:rsid w:val="00950213"/>
    <w:rsid w:val="009546BC"/>
    <w:rsid w:val="009C3624"/>
    <w:rsid w:val="00A47DAE"/>
    <w:rsid w:val="00A70B26"/>
    <w:rsid w:val="00AF2D87"/>
    <w:rsid w:val="00AF3C0B"/>
    <w:rsid w:val="00B17851"/>
    <w:rsid w:val="00B90EED"/>
    <w:rsid w:val="00B97085"/>
    <w:rsid w:val="00BC4EBF"/>
    <w:rsid w:val="00BD7BB0"/>
    <w:rsid w:val="00C4190F"/>
    <w:rsid w:val="00C50F2B"/>
    <w:rsid w:val="00C52BC1"/>
    <w:rsid w:val="00CE337A"/>
    <w:rsid w:val="00D93244"/>
    <w:rsid w:val="00DA05DC"/>
    <w:rsid w:val="00E0111D"/>
    <w:rsid w:val="00E807F6"/>
    <w:rsid w:val="00EA4DC5"/>
    <w:rsid w:val="00F071C4"/>
    <w:rsid w:val="00F1666B"/>
    <w:rsid w:val="00F62277"/>
    <w:rsid w:val="00F73FEB"/>
    <w:rsid w:val="00F921F6"/>
    <w:rsid w:val="00FC5C76"/>
    <w:rsid w:val="00FE28D7"/>
    <w:rsid w:val="00FE2C1D"/>
    <w:rsid w:val="021C6624"/>
    <w:rsid w:val="079816F2"/>
    <w:rsid w:val="0B7A38A7"/>
    <w:rsid w:val="0BED2848"/>
    <w:rsid w:val="0D4F26BF"/>
    <w:rsid w:val="0D6D2037"/>
    <w:rsid w:val="0D7257D0"/>
    <w:rsid w:val="0DF6702C"/>
    <w:rsid w:val="0E8C6EF5"/>
    <w:rsid w:val="0EAC6E81"/>
    <w:rsid w:val="0EF07DF3"/>
    <w:rsid w:val="10BB0DE7"/>
    <w:rsid w:val="10D46218"/>
    <w:rsid w:val="10EC5E29"/>
    <w:rsid w:val="12D57C90"/>
    <w:rsid w:val="170608F7"/>
    <w:rsid w:val="17981E51"/>
    <w:rsid w:val="17DF0111"/>
    <w:rsid w:val="19C66901"/>
    <w:rsid w:val="1B2C4A6E"/>
    <w:rsid w:val="1B75435D"/>
    <w:rsid w:val="1D1853AF"/>
    <w:rsid w:val="20273C62"/>
    <w:rsid w:val="216058A9"/>
    <w:rsid w:val="21E73573"/>
    <w:rsid w:val="2562197E"/>
    <w:rsid w:val="270516BC"/>
    <w:rsid w:val="280A06C0"/>
    <w:rsid w:val="28515B77"/>
    <w:rsid w:val="2CD10A37"/>
    <w:rsid w:val="2DAF3B63"/>
    <w:rsid w:val="2E937F98"/>
    <w:rsid w:val="2EAC7A84"/>
    <w:rsid w:val="2EF9304D"/>
    <w:rsid w:val="2F9D6C07"/>
    <w:rsid w:val="32C91500"/>
    <w:rsid w:val="337C05A1"/>
    <w:rsid w:val="33965C26"/>
    <w:rsid w:val="34940C10"/>
    <w:rsid w:val="36D61BC6"/>
    <w:rsid w:val="393D2C48"/>
    <w:rsid w:val="3B105B9D"/>
    <w:rsid w:val="3B360EA6"/>
    <w:rsid w:val="3D6407A3"/>
    <w:rsid w:val="3DB249C8"/>
    <w:rsid w:val="3E182BFB"/>
    <w:rsid w:val="3EB865DA"/>
    <w:rsid w:val="417B4467"/>
    <w:rsid w:val="42C7755A"/>
    <w:rsid w:val="44556C65"/>
    <w:rsid w:val="46E65808"/>
    <w:rsid w:val="47642B67"/>
    <w:rsid w:val="47AE587F"/>
    <w:rsid w:val="49012912"/>
    <w:rsid w:val="4CF13F50"/>
    <w:rsid w:val="4E2D6403"/>
    <w:rsid w:val="4E324336"/>
    <w:rsid w:val="4EA81E3C"/>
    <w:rsid w:val="4EB62B4A"/>
    <w:rsid w:val="4F5E1B10"/>
    <w:rsid w:val="512E4AF8"/>
    <w:rsid w:val="522357B7"/>
    <w:rsid w:val="54A537BB"/>
    <w:rsid w:val="562B368E"/>
    <w:rsid w:val="565C1F84"/>
    <w:rsid w:val="582D1C36"/>
    <w:rsid w:val="58B359BE"/>
    <w:rsid w:val="593C3DF6"/>
    <w:rsid w:val="5BCF27BE"/>
    <w:rsid w:val="5CB31D71"/>
    <w:rsid w:val="5CF16DE4"/>
    <w:rsid w:val="5FC6554C"/>
    <w:rsid w:val="608260E1"/>
    <w:rsid w:val="60C70EC5"/>
    <w:rsid w:val="62F321E2"/>
    <w:rsid w:val="636D04FB"/>
    <w:rsid w:val="64D218A7"/>
    <w:rsid w:val="65527BF9"/>
    <w:rsid w:val="67EB51A1"/>
    <w:rsid w:val="6A214490"/>
    <w:rsid w:val="6C08035C"/>
    <w:rsid w:val="6E945C5E"/>
    <w:rsid w:val="6EA7546C"/>
    <w:rsid w:val="6EDF18F0"/>
    <w:rsid w:val="70E400C1"/>
    <w:rsid w:val="71E54313"/>
    <w:rsid w:val="72F86678"/>
    <w:rsid w:val="75295853"/>
    <w:rsid w:val="758D2002"/>
    <w:rsid w:val="75D11028"/>
    <w:rsid w:val="77011514"/>
    <w:rsid w:val="79297478"/>
    <w:rsid w:val="7D2E379F"/>
    <w:rsid w:val="7F732B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99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TML Code"/>
    <w:basedOn w:val="7"/>
    <w:semiHidden/>
    <w:unhideWhenUsed/>
    <w:uiPriority w:val="99"/>
    <w:rPr>
      <w:rFonts w:ascii="宋体" w:hAnsi="宋体" w:eastAsia="宋体" w:cs="宋体"/>
      <w:sz w:val="24"/>
      <w:szCs w:val="24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字符"/>
    <w:basedOn w:val="7"/>
    <w:link w:val="2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1097</Words>
  <Characters>6256</Characters>
  <Lines>52</Lines>
  <Paragraphs>14</Paragraphs>
  <TotalTime>8</TotalTime>
  <ScaleCrop>false</ScaleCrop>
  <LinksUpToDate>false</LinksUpToDate>
  <CharactersWithSpaces>7339</CharactersWithSpaces>
  <Application>WPS Office_12.8.2.19823_F1E327BC-269C-435d-A152-05C5408002CA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2019-11-18T06:35:00Z</dcterms:created>
  <dc:creator>伊思默</dc:creator>
  <cp:lastModifiedBy>123</cp:lastModifiedBy>
  <cp:lastPrinted>2024-09-26T04:01:00Z</cp:lastPrinted>
  <dcterms:modified xsi:type="dcterms:W3CDTF">2026-03-19T10:47:52Z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2052-12.8.2.19823</vt:lpwstr>
  </property>
  <property fmtid="{D5CDD505-2E9C-101B-9397-08002B2CF9AE}" pid="3" name="ICV">
    <vt:lpwstr>80CBE2924DE4429E8E52DAA9B3DF1124_13</vt:lpwstr>
  </property>
  <property fmtid="{D5CDD505-2E9C-101B-9397-08002B2CF9AE}" pid="4" name="KSOTemplateDocerSaveRecord">
    <vt:lpwstr>eyJoZGlkIjoiOWYxYjkxMWE1YTdjMzgzZmNjZDY2ZmYwMWI1NGYzZDIiLCJ1c2VySWQiOiIyNDUwMjQ2ODMifQ==</vt:lpwstr>
  </property>
</Properties>
</file>